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63" w:rsidRPr="00C31663" w:rsidRDefault="00C31663" w:rsidP="00C31663">
      <w:pPr>
        <w:shd w:val="clear" w:color="auto" w:fill="FFFFFF"/>
        <w:spacing w:before="100" w:beforeAutospacing="1" w:after="100" w:afterAutospacing="1" w:line="240" w:lineRule="auto"/>
        <w:outlineLvl w:val="0"/>
        <w:rPr>
          <w:rFonts w:ascii="UHCSerifHeadline-Semibold" w:eastAsia="Times New Roman" w:hAnsi="UHCSerifHeadline-Semibold" w:cs="Arial"/>
          <w:b/>
          <w:bCs/>
          <w:color w:val="002677"/>
          <w:kern w:val="36"/>
          <w:sz w:val="48"/>
          <w:szCs w:val="48"/>
        </w:rPr>
      </w:pPr>
      <w:r w:rsidRPr="00C31663">
        <w:rPr>
          <w:rFonts w:ascii="UHCSerifHeadline-Semibold" w:eastAsia="Times New Roman" w:hAnsi="UHCSerifHeadline-Semibold" w:cs="Arial"/>
          <w:b/>
          <w:bCs/>
          <w:color w:val="002677"/>
          <w:kern w:val="36"/>
          <w:sz w:val="48"/>
          <w:szCs w:val="48"/>
        </w:rPr>
        <w:t>April 2022 policy and protocol updates overview</w:t>
      </w:r>
    </w:p>
    <w:p w:rsidR="00C31663" w:rsidRPr="00C31663" w:rsidRDefault="00C31663" w:rsidP="00C31663">
      <w:pPr>
        <w:shd w:val="clear" w:color="auto" w:fill="FFFFFF"/>
        <w:spacing w:before="100" w:beforeAutospacing="1" w:after="100" w:afterAutospacing="1" w:line="240" w:lineRule="auto"/>
        <w:outlineLvl w:val="1"/>
        <w:rPr>
          <w:rFonts w:ascii="UHCSerifHeadline-Semibold" w:eastAsia="Times New Roman" w:hAnsi="UHCSerifHeadline-Semibold" w:cs="Arial"/>
          <w:b/>
          <w:bCs/>
          <w:color w:val="002677"/>
          <w:sz w:val="36"/>
          <w:szCs w:val="36"/>
        </w:rPr>
      </w:pPr>
      <w:bookmarkStart w:id="0" w:name="_GoBack"/>
      <w:bookmarkEnd w:id="0"/>
      <w:r w:rsidRPr="00C31663">
        <w:rPr>
          <w:rFonts w:ascii="UHCSerifHeadline-Semibold" w:eastAsia="Times New Roman" w:hAnsi="UHCSerifHeadline-Semibold" w:cs="Arial"/>
          <w:b/>
          <w:bCs/>
          <w:color w:val="002677"/>
          <w:sz w:val="36"/>
          <w:szCs w:val="36"/>
        </w:rPr>
        <w:t xml:space="preserve">Your notice of protocol and policy changes from </w:t>
      </w:r>
      <w:proofErr w:type="spellStart"/>
      <w:r w:rsidRPr="00C31663">
        <w:rPr>
          <w:rFonts w:ascii="UHCSerifHeadline-Semibold" w:eastAsia="Times New Roman" w:hAnsi="UHCSerifHeadline-Semibold" w:cs="Arial"/>
          <w:b/>
          <w:bCs/>
          <w:color w:val="002677"/>
          <w:sz w:val="36"/>
          <w:szCs w:val="36"/>
        </w:rPr>
        <w:t>UnitedHealthcare</w:t>
      </w:r>
      <w:proofErr w:type="spellEnd"/>
    </w:p>
    <w:p w:rsidR="00C31663" w:rsidRPr="00C31663" w:rsidRDefault="00C31663" w:rsidP="00C31663">
      <w:pPr>
        <w:shd w:val="clear" w:color="auto" w:fill="FFFFFF"/>
        <w:spacing w:before="100" w:beforeAutospacing="1" w:after="100" w:afterAutospacing="1" w:line="240" w:lineRule="auto"/>
        <w:outlineLvl w:val="2"/>
        <w:rPr>
          <w:rFonts w:ascii="UHCSerifHeadline-Semibold" w:eastAsia="Times New Roman" w:hAnsi="UHCSerifHeadline-Semibold" w:cs="Arial"/>
          <w:b/>
          <w:bCs/>
          <w:color w:val="002677"/>
          <w:sz w:val="27"/>
          <w:szCs w:val="27"/>
        </w:rPr>
      </w:pPr>
      <w:r w:rsidRPr="00C31663">
        <w:rPr>
          <w:rFonts w:ascii="UHCSerifHeadline-Semibold" w:eastAsia="Times New Roman" w:hAnsi="UHCSerifHeadline-Semibold" w:cs="Arial"/>
          <w:b/>
          <w:bCs/>
          <w:color w:val="002677"/>
          <w:sz w:val="27"/>
          <w:szCs w:val="27"/>
        </w:rPr>
        <w:t>Appendix Bulletins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4" w:history="1">
        <w:r w:rsidRPr="00C31663">
          <w:rPr>
            <w:rFonts w:ascii="UHC2020Sans-Medium" w:eastAsia="Times New Roman" w:hAnsi="UHC2020Sans-Medium" w:cs="Arial"/>
            <w:b/>
            <w:bCs/>
            <w:color w:val="196ECF"/>
            <w:sz w:val="24"/>
            <w:szCs w:val="24"/>
            <w:u w:val="single"/>
          </w:rPr>
          <w:t>Medical policy updates: April 2022</w:t>
        </w:r>
      </w:hyperlink>
      <w:r w:rsidRPr="00C31663">
        <w:rPr>
          <w:rFonts w:ascii="UHC2020Sans-Medium" w:eastAsia="Times New Roman" w:hAnsi="UHC2020Sans-Medium" w:cs="Arial"/>
          <w:color w:val="000000"/>
          <w:sz w:val="24"/>
          <w:szCs w:val="24"/>
        </w:rPr>
        <w:br/>
        <w:t>This month, you’ll find updates to our commercial, commercial affiliate, Exchange Plans, Community Plan, and Medicare Advantage medical policies.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5" w:history="1">
        <w:r w:rsidRPr="00C31663">
          <w:rPr>
            <w:rFonts w:ascii="UHC2020Sans-Medium" w:eastAsia="Times New Roman" w:hAnsi="UHC2020Sans-Medium" w:cs="Arial"/>
            <w:b/>
            <w:bCs/>
            <w:color w:val="196ECF"/>
            <w:sz w:val="24"/>
            <w:szCs w:val="24"/>
            <w:u w:val="single"/>
          </w:rPr>
          <w:t>Reimbursement policy updates: April 2022</w:t>
        </w:r>
      </w:hyperlink>
      <w:r w:rsidRPr="00C31663">
        <w:rPr>
          <w:rFonts w:ascii="UHC2020Sans-Medium" w:eastAsia="Times New Roman" w:hAnsi="UHC2020Sans-Medium" w:cs="Arial"/>
          <w:color w:val="000000"/>
          <w:sz w:val="24"/>
          <w:szCs w:val="24"/>
        </w:rPr>
        <w:br/>
        <w:t>See the latest updates for reimbursement policies.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6" w:history="1">
        <w:r w:rsidRPr="00C31663">
          <w:rPr>
            <w:rFonts w:ascii="UHC2020Sans-Medium" w:eastAsia="Times New Roman" w:hAnsi="UHC2020Sans-Medium" w:cs="Arial"/>
            <w:b/>
            <w:bCs/>
            <w:color w:val="196ECF"/>
            <w:sz w:val="24"/>
            <w:szCs w:val="24"/>
            <w:u w:val="single"/>
          </w:rPr>
          <w:t>Specialty Medical Injectable Drug program updates: April 2022</w:t>
        </w:r>
      </w:hyperlink>
      <w:r w:rsidRPr="00C31663">
        <w:rPr>
          <w:rFonts w:ascii="UHC2020Sans-Medium" w:eastAsia="Times New Roman" w:hAnsi="UHC2020Sans-Medium" w:cs="Arial"/>
          <w:color w:val="000000"/>
          <w:sz w:val="24"/>
          <w:szCs w:val="24"/>
        </w:rPr>
        <w:br/>
        <w:t xml:space="preserve">See the latest updates to requirements for Specialty Medical Injectable Drugs for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members.</w:t>
      </w:r>
    </w:p>
    <w:p w:rsidR="00C31663" w:rsidRPr="00C31663" w:rsidRDefault="00C31663" w:rsidP="00C31663">
      <w:pPr>
        <w:shd w:val="clear" w:color="auto" w:fill="FFFFFF"/>
        <w:spacing w:after="0" w:line="240" w:lineRule="auto"/>
        <w:rPr>
          <w:rFonts w:ascii="Arial" w:eastAsia="Times New Roman" w:hAnsi="Arial" w:cs="Arial"/>
          <w:color w:val="6F6F6F"/>
          <w:sz w:val="24"/>
          <w:szCs w:val="24"/>
        </w:rPr>
      </w:pPr>
      <w:r w:rsidRPr="00C31663">
        <w:rPr>
          <w:rFonts w:ascii="Arial" w:eastAsia="Times New Roman" w:hAnsi="Arial" w:cs="Arial"/>
          <w:color w:val="6F6F6F"/>
          <w:sz w:val="24"/>
          <w:szCs w:val="24"/>
        </w:rPr>
        <w:pict>
          <v:rect id="_x0000_i1025" style="width:0;height:0" o:hralign="center" o:hrstd="t" o:hr="t" fillcolor="#a0a0a0" stroked="f"/>
        </w:pict>
      </w:r>
    </w:p>
    <w:p w:rsidR="00C31663" w:rsidRPr="00C31663" w:rsidRDefault="00C31663" w:rsidP="00C31663">
      <w:pPr>
        <w:shd w:val="clear" w:color="auto" w:fill="FFFFFF"/>
        <w:spacing w:before="100" w:beforeAutospacing="1" w:after="100" w:afterAutospacing="1" w:line="240" w:lineRule="auto"/>
        <w:outlineLvl w:val="2"/>
        <w:rPr>
          <w:rFonts w:ascii="UHCSerifHeadline-Semibold" w:eastAsia="Times New Roman" w:hAnsi="UHCSerifHeadline-Semibold" w:cs="Arial"/>
          <w:b/>
          <w:bCs/>
          <w:color w:val="002677"/>
          <w:sz w:val="27"/>
          <w:szCs w:val="27"/>
        </w:rPr>
      </w:pPr>
      <w:r w:rsidRPr="00C31663">
        <w:rPr>
          <w:rFonts w:ascii="UHCSerifHeadline-Semibold" w:eastAsia="Times New Roman" w:hAnsi="UHCSerifHeadline-Semibold" w:cs="Arial"/>
          <w:b/>
          <w:bCs/>
          <w:color w:val="002677"/>
          <w:sz w:val="27"/>
          <w:szCs w:val="27"/>
        </w:rPr>
        <w:t>Policy and protocol updates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7" w:history="1">
        <w:r w:rsidRPr="00C31663">
          <w:rPr>
            <w:rFonts w:ascii="UHC2020Sans-Bold" w:eastAsia="Times New Roman" w:hAnsi="UHC2020Sans-Bold" w:cs="Arial"/>
            <w:b/>
            <w:bCs/>
            <w:color w:val="196ECF"/>
            <w:sz w:val="24"/>
            <w:szCs w:val="24"/>
            <w:u w:val="single"/>
          </w:rPr>
          <w:t>Home health review process change for Alabama</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Starting </w:t>
      </w:r>
      <w:r w:rsidRPr="00C31663">
        <w:rPr>
          <w:rFonts w:ascii="UHC2020Sans-Bold" w:eastAsia="Times New Roman" w:hAnsi="UHC2020Sans-Bold" w:cs="Arial"/>
          <w:b/>
          <w:bCs/>
          <w:color w:val="000000"/>
          <w:sz w:val="24"/>
          <w:szCs w:val="24"/>
        </w:rPr>
        <w:t>July 1, 2022</w:t>
      </w:r>
      <w:r w:rsidRPr="00C31663">
        <w:rPr>
          <w:rFonts w:ascii="UHC2020Sans-Medium" w:eastAsia="Times New Roman" w:hAnsi="UHC2020Sans-Medium" w:cs="Arial"/>
          <w:color w:val="000000"/>
          <w:sz w:val="24"/>
          <w:szCs w:val="24"/>
        </w:rPr>
        <w:t xml:space="preserve">, for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Medicare Advantage and Dual Special Needs Plans (D-SNP) in Alabama, there will be a change in the process for requesting prior authorization for all visits after the start of care visit (SOC).</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8" w:history="1">
        <w:r w:rsidRPr="00C31663">
          <w:rPr>
            <w:rFonts w:ascii="UHC2020Sans-Bold" w:eastAsia="Times New Roman" w:hAnsi="UHC2020Sans-Bold" w:cs="Arial"/>
            <w:b/>
            <w:bCs/>
            <w:color w:val="196ECF"/>
            <w:sz w:val="24"/>
            <w:szCs w:val="24"/>
            <w:u w:val="single"/>
          </w:rPr>
          <w:t>California Medicaid: Ensure compliance with blood lead screening requirements of young children</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 xml:space="preserve">A list of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Community Plan members who</w:t>
      </w:r>
      <w:r w:rsidRPr="00C31663">
        <w:rPr>
          <w:rFonts w:ascii="UHC2020Sans-Bold" w:eastAsia="Times New Roman" w:hAnsi="UHC2020Sans-Bold" w:cs="Arial"/>
          <w:b/>
          <w:bCs/>
          <w:color w:val="000000"/>
          <w:sz w:val="24"/>
          <w:szCs w:val="24"/>
        </w:rPr>
        <w:t> </w:t>
      </w:r>
      <w:r w:rsidRPr="00C31663">
        <w:rPr>
          <w:rFonts w:ascii="UHC2020Sans-Medium" w:eastAsia="Times New Roman" w:hAnsi="UHC2020Sans-Medium" w:cs="Arial"/>
          <w:color w:val="000000"/>
          <w:sz w:val="24"/>
          <w:szCs w:val="24"/>
        </w:rPr>
        <w:t>have yet to receive a required blood screening is now included in the Patient Care Opportunity Report (PCOR).</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9" w:history="1">
        <w:r w:rsidRPr="00C31663">
          <w:rPr>
            <w:rFonts w:ascii="UHC2020Sans-Bold" w:eastAsia="Times New Roman" w:hAnsi="UHC2020Sans-Bold" w:cs="Arial"/>
            <w:b/>
            <w:bCs/>
            <w:color w:val="196ECF"/>
            <w:sz w:val="24"/>
            <w:szCs w:val="24"/>
            <w:u w:val="single"/>
          </w:rPr>
          <w:t>Colorado, Kentucky and Tennessee: Access new home health review process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Starting </w:t>
      </w:r>
      <w:r w:rsidRPr="00C31663">
        <w:rPr>
          <w:rFonts w:ascii="UHC2020Sans-Bold" w:eastAsia="Times New Roman" w:hAnsi="UHC2020Sans-Bold" w:cs="Arial"/>
          <w:b/>
          <w:bCs/>
          <w:color w:val="000000"/>
          <w:sz w:val="24"/>
          <w:szCs w:val="24"/>
        </w:rPr>
        <w:t>July 1, 2022</w:t>
      </w:r>
      <w:r w:rsidRPr="00C31663">
        <w:rPr>
          <w:rFonts w:ascii="UHC2020Sans-Medium" w:eastAsia="Times New Roman" w:hAnsi="UHC2020Sans-Medium" w:cs="Arial"/>
          <w:color w:val="000000"/>
          <w:sz w:val="24"/>
          <w:szCs w:val="24"/>
        </w:rPr>
        <w:t xml:space="preserve">, for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 w:eastAsia="Times New Roman" w:hAnsi="UHC2020Sans" w:cs="Arial"/>
          <w:color w:val="000000"/>
          <w:sz w:val="16"/>
          <w:szCs w:val="16"/>
          <w:vertAlign w:val="superscript"/>
        </w:rPr>
        <w:t>®</w:t>
      </w:r>
      <w:r w:rsidRPr="00C31663">
        <w:rPr>
          <w:rFonts w:ascii="UHC2020Sans-Medium" w:eastAsia="Times New Roman" w:hAnsi="UHC2020Sans-Medium" w:cs="Arial"/>
          <w:color w:val="000000"/>
          <w:sz w:val="24"/>
          <w:szCs w:val="24"/>
        </w:rPr>
        <w:t> Medicare Advantage</w:t>
      </w:r>
      <w:r w:rsidRPr="00C31663">
        <w:rPr>
          <w:rFonts w:ascii="UHC2020Sans" w:eastAsia="Times New Roman" w:hAnsi="UHC2020Sans" w:cs="Arial"/>
          <w:color w:val="000000"/>
          <w:sz w:val="16"/>
          <w:szCs w:val="16"/>
          <w:vertAlign w:val="superscript"/>
        </w:rPr>
        <w:t> </w:t>
      </w:r>
      <w:r w:rsidRPr="00C31663">
        <w:rPr>
          <w:rFonts w:ascii="UHC2020Sans-Medium" w:eastAsia="Times New Roman" w:hAnsi="UHC2020Sans-Medium" w:cs="Arial"/>
          <w:color w:val="000000"/>
          <w:sz w:val="24"/>
          <w:szCs w:val="24"/>
        </w:rPr>
        <w:t>and Dual Special Needs Plans (D-SNP), you’ll need to request prior authorization for all visits after the start of care (SOC) visit.</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0" w:history="1">
        <w:r w:rsidRPr="00C31663">
          <w:rPr>
            <w:rFonts w:ascii="UHC2020Sans-Bold" w:eastAsia="Times New Roman" w:hAnsi="UHC2020Sans-Bold" w:cs="Arial"/>
            <w:b/>
            <w:bCs/>
            <w:color w:val="196ECF"/>
            <w:sz w:val="24"/>
            <w:szCs w:val="24"/>
            <w:u w:val="single"/>
          </w:rPr>
          <w:t>Kentucky: Updating incarceration release dates in KYMMIS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 xml:space="preserve">Medicaid benefits are suspended for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Community Plan members when they’re incarcerated.</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1" w:history="1">
        <w:r w:rsidRPr="00C31663">
          <w:rPr>
            <w:rFonts w:ascii="UHC2020Sans-Bold" w:eastAsia="Times New Roman" w:hAnsi="UHC2020Sans-Bold" w:cs="Arial"/>
            <w:b/>
            <w:bCs/>
            <w:color w:val="196ECF"/>
            <w:sz w:val="24"/>
            <w:szCs w:val="24"/>
            <w:u w:val="single"/>
          </w:rPr>
          <w:t>Louisiana: State policy on sinus procedures and surgery</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 xml:space="preserve">The Louisiana Department of Health issued Information Bulletin 22-3 announcing its policy on sinus procedure balloon </w:t>
      </w:r>
      <w:proofErr w:type="spellStart"/>
      <w:r w:rsidRPr="00C31663">
        <w:rPr>
          <w:rFonts w:ascii="UHC2020Sans-Medium" w:eastAsia="Times New Roman" w:hAnsi="UHC2020Sans-Medium" w:cs="Arial"/>
          <w:color w:val="000000"/>
          <w:sz w:val="24"/>
          <w:szCs w:val="24"/>
        </w:rPr>
        <w:t>ostial</w:t>
      </w:r>
      <w:proofErr w:type="spellEnd"/>
      <w:r w:rsidRPr="00C31663">
        <w:rPr>
          <w:rFonts w:ascii="UHC2020Sans-Medium" w:eastAsia="Times New Roman" w:hAnsi="UHC2020Sans-Medium" w:cs="Arial"/>
          <w:color w:val="000000"/>
          <w:sz w:val="24"/>
          <w:szCs w:val="24"/>
        </w:rPr>
        <w:t xml:space="preserve"> dilation and functional endoscopic sinus surgery effective March 9, 2022.</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2" w:history="1">
        <w:r w:rsidRPr="00C31663">
          <w:rPr>
            <w:rFonts w:ascii="UHC2020Sans-Bold" w:eastAsia="Times New Roman" w:hAnsi="UHC2020Sans-Bold" w:cs="Arial"/>
            <w:b/>
            <w:bCs/>
            <w:color w:val="196ECF"/>
            <w:sz w:val="24"/>
            <w:szCs w:val="24"/>
            <w:u w:val="single"/>
          </w:rPr>
          <w:t>Minnesota Medicaid: Injectable chemotherapy prior authorization update</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Effective </w:t>
      </w:r>
      <w:r w:rsidRPr="00C31663">
        <w:rPr>
          <w:rFonts w:ascii="UHC2020Sans-Bold" w:eastAsia="Times New Roman" w:hAnsi="UHC2020Sans-Bold" w:cs="Arial"/>
          <w:b/>
          <w:bCs/>
          <w:color w:val="000000"/>
          <w:sz w:val="24"/>
          <w:szCs w:val="24"/>
        </w:rPr>
        <w:t>May 1, 2022</w:t>
      </w:r>
      <w:r w:rsidRPr="00C31663">
        <w:rPr>
          <w:rFonts w:ascii="UHC2020Sans-Medium" w:eastAsia="Times New Roman" w:hAnsi="UHC2020Sans-Medium" w:cs="Arial"/>
          <w:color w:val="000000"/>
          <w:sz w:val="24"/>
          <w:szCs w:val="24"/>
        </w:rPr>
        <w:t xml:space="preserve">,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will expand the existing prior authorization requirement for injectable chemotherapy drugs received in an outpatient setting to include the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Community Plan of Minnesota.</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3" w:history="1">
        <w:r w:rsidRPr="00C31663">
          <w:rPr>
            <w:rFonts w:ascii="UHC2020Sans-Bold" w:eastAsia="Times New Roman" w:hAnsi="UHC2020Sans-Bold" w:cs="Arial"/>
            <w:b/>
            <w:bCs/>
            <w:color w:val="196ECF"/>
            <w:sz w:val="24"/>
            <w:szCs w:val="24"/>
            <w:u w:val="single"/>
          </w:rPr>
          <w:t>New York: Medicaid policy details for SD and ED prescriptions and treatments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New York State Medicaid does not cover prescription or physician-administered drugs used for the treatment of sexual dysfunction (SD) or erectile dysfunction (ED).</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4" w:history="1">
        <w:r w:rsidRPr="00C31663">
          <w:rPr>
            <w:rFonts w:ascii="UHC2020Sans-Bold" w:eastAsia="Times New Roman" w:hAnsi="UHC2020Sans-Bold" w:cs="Arial"/>
            <w:b/>
            <w:bCs/>
            <w:color w:val="196ECF"/>
            <w:sz w:val="24"/>
            <w:szCs w:val="24"/>
            <w:u w:val="single"/>
          </w:rPr>
          <w:t>North Carolina: Avoid denials when submitting personal care services claims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There are several actions you can take to help avoid claim denials for personal care services.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5" w:history="1">
        <w:r w:rsidRPr="00C31663">
          <w:rPr>
            <w:rFonts w:ascii="UHC2020Sans-Bold" w:eastAsia="Times New Roman" w:hAnsi="UHC2020Sans-Bold" w:cs="Arial"/>
            <w:b/>
            <w:bCs/>
            <w:color w:val="196ECF"/>
            <w:sz w:val="24"/>
            <w:szCs w:val="24"/>
            <w:u w:val="single"/>
          </w:rPr>
          <w:t>Texas Medicaid: Prior authorization changes effective May 1, 2022</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Effective </w:t>
      </w:r>
      <w:r w:rsidRPr="00C31663">
        <w:rPr>
          <w:rFonts w:ascii="UHC2020Sans-Bold" w:eastAsia="Times New Roman" w:hAnsi="UHC2020Sans-Bold" w:cs="Arial"/>
          <w:b/>
          <w:bCs/>
          <w:color w:val="000000"/>
          <w:sz w:val="24"/>
          <w:szCs w:val="24"/>
        </w:rPr>
        <w:t>May 1, 2022</w:t>
      </w:r>
      <w:r w:rsidRPr="00C31663">
        <w:rPr>
          <w:rFonts w:ascii="UHC2020Sans-Medium" w:eastAsia="Times New Roman" w:hAnsi="UHC2020Sans-Medium" w:cs="Arial"/>
          <w:color w:val="000000"/>
          <w:sz w:val="24"/>
          <w:szCs w:val="24"/>
        </w:rPr>
        <w:t xml:space="preserve">, prior authorization is required when prescribing drugs for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Community Plan of Texas members to treat certain conditions.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6" w:history="1">
        <w:r w:rsidRPr="00C31663">
          <w:rPr>
            <w:rFonts w:ascii="UHC2020Sans-Bold" w:eastAsia="Times New Roman" w:hAnsi="UHC2020Sans-Bold" w:cs="Arial"/>
            <w:b/>
            <w:bCs/>
            <w:color w:val="196ECF"/>
            <w:sz w:val="24"/>
            <w:szCs w:val="24"/>
            <w:u w:val="single"/>
          </w:rPr>
          <w:t>Veteran’s Affairs Community Care Network home health updates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The Centers for Medicare &amp; Medicaid Services (CMS) recently announced changes to claim processing requirements that affect using Requests for Anticipated Payments (RAPs) for home health care claims, including changes to submission timelines and late penalties.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7" w:history="1">
        <w:r w:rsidRPr="00C31663">
          <w:rPr>
            <w:rFonts w:ascii="UHC2020Sans-Bold" w:eastAsia="Times New Roman" w:hAnsi="UHC2020Sans-Bold" w:cs="Arial"/>
            <w:b/>
            <w:bCs/>
            <w:color w:val="196ECF"/>
            <w:sz w:val="24"/>
            <w:szCs w:val="24"/>
            <w:u w:val="single"/>
          </w:rPr>
          <w:t>Specialty Pharmacy Requirement updates for certain medical benefit medications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Effective for dates of service on or after </w:t>
      </w:r>
      <w:r w:rsidRPr="00C31663">
        <w:rPr>
          <w:rFonts w:ascii="UHC2020Sans-Bold" w:eastAsia="Times New Roman" w:hAnsi="UHC2020Sans-Bold" w:cs="Arial"/>
          <w:b/>
          <w:bCs/>
          <w:color w:val="000000"/>
          <w:sz w:val="24"/>
          <w:szCs w:val="24"/>
        </w:rPr>
        <w:t>July 1, 2022, </w:t>
      </w:r>
      <w:r w:rsidRPr="00C31663">
        <w:rPr>
          <w:rFonts w:ascii="UHC2020Sans-Medium" w:eastAsia="Times New Roman" w:hAnsi="UHC2020Sans-Medium" w:cs="Arial"/>
          <w:color w:val="000000"/>
          <w:sz w:val="24"/>
          <w:szCs w:val="24"/>
        </w:rPr>
        <w:t xml:space="preserve">we will be revising our specialty pharmacy requirements for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and Oxford commercial plan members to simplify and streamline Medication Sourcing.</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8" w:history="1">
        <w:r w:rsidRPr="00C31663">
          <w:rPr>
            <w:rFonts w:ascii="UHC2020Sans-Bold" w:eastAsia="Times New Roman" w:hAnsi="UHC2020Sans-Bold" w:cs="Arial"/>
            <w:b/>
            <w:bCs/>
            <w:color w:val="196ECF"/>
            <w:sz w:val="24"/>
            <w:szCs w:val="24"/>
            <w:u w:val="single"/>
          </w:rPr>
          <w:t>Updates to the oncology Specialty Pharmacy Requirement for commercial plan members</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Effective for dates of service on or after </w:t>
      </w:r>
      <w:r w:rsidRPr="00C31663">
        <w:rPr>
          <w:rFonts w:ascii="UHC2020Sans-Bold" w:eastAsia="Times New Roman" w:hAnsi="UHC2020Sans-Bold" w:cs="Arial"/>
          <w:b/>
          <w:bCs/>
          <w:color w:val="000000"/>
          <w:sz w:val="24"/>
          <w:szCs w:val="24"/>
        </w:rPr>
        <w:t>March 18, 2022</w:t>
      </w:r>
      <w:r w:rsidRPr="00C31663">
        <w:rPr>
          <w:rFonts w:ascii="UHC2020Sans-Medium" w:eastAsia="Times New Roman" w:hAnsi="UHC2020Sans-Medium" w:cs="Arial"/>
          <w:color w:val="000000"/>
          <w:sz w:val="24"/>
          <w:szCs w:val="24"/>
        </w:rPr>
        <w:t>, the medication sourcing requirement for certain oncology supportive care medications will no longer apply for outpatient hospital providers.</w:t>
      </w:r>
    </w:p>
    <w:p w:rsidR="00C31663" w:rsidRPr="00C31663" w:rsidRDefault="00C31663" w:rsidP="00C31663">
      <w:pPr>
        <w:shd w:val="clear" w:color="auto" w:fill="FFFFFF"/>
        <w:spacing w:after="0" w:line="240" w:lineRule="auto"/>
        <w:rPr>
          <w:rFonts w:ascii="Arial" w:eastAsia="Times New Roman" w:hAnsi="Arial" w:cs="Arial"/>
          <w:color w:val="6F6F6F"/>
          <w:sz w:val="24"/>
          <w:szCs w:val="24"/>
        </w:rPr>
      </w:pPr>
      <w:r w:rsidRPr="00C31663">
        <w:rPr>
          <w:rFonts w:ascii="Arial" w:eastAsia="Times New Roman" w:hAnsi="Arial" w:cs="Arial"/>
          <w:color w:val="6F6F6F"/>
          <w:sz w:val="24"/>
          <w:szCs w:val="24"/>
        </w:rPr>
        <w:pict>
          <v:rect id="_x0000_i1026" style="width:0;height:0" o:hralign="center" o:hrstd="t" o:hr="t" fillcolor="#a0a0a0" stroked="f"/>
        </w:pict>
      </w:r>
    </w:p>
    <w:p w:rsidR="00C31663" w:rsidRPr="00C31663" w:rsidRDefault="00C31663" w:rsidP="00C31663">
      <w:pPr>
        <w:shd w:val="clear" w:color="auto" w:fill="FFFFFF"/>
        <w:spacing w:before="100" w:beforeAutospacing="1" w:after="100" w:afterAutospacing="1" w:line="240" w:lineRule="auto"/>
        <w:outlineLvl w:val="2"/>
        <w:rPr>
          <w:rFonts w:ascii="UHCSerifHeadline-Semibold" w:eastAsia="Times New Roman" w:hAnsi="UHCSerifHeadline-Semibold" w:cs="Arial"/>
          <w:b/>
          <w:bCs/>
          <w:color w:val="002677"/>
          <w:sz w:val="27"/>
          <w:szCs w:val="27"/>
        </w:rPr>
      </w:pPr>
      <w:r w:rsidRPr="00C31663">
        <w:rPr>
          <w:rFonts w:ascii="UHCSerifHeadline-Semibold" w:eastAsia="Times New Roman" w:hAnsi="UHCSerifHeadline-Semibold" w:cs="Arial"/>
          <w:b/>
          <w:bCs/>
          <w:color w:val="002677"/>
          <w:sz w:val="27"/>
          <w:szCs w:val="27"/>
        </w:rPr>
        <w:t>State news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19" w:history="1">
        <w:r w:rsidRPr="00C31663">
          <w:rPr>
            <w:rFonts w:ascii="UHC2020Sans-Medium" w:eastAsia="Times New Roman" w:hAnsi="UHC2020Sans-Medium" w:cs="Arial"/>
            <w:b/>
            <w:bCs/>
            <w:color w:val="196ECF"/>
            <w:sz w:val="24"/>
            <w:szCs w:val="24"/>
            <w:u w:val="single"/>
          </w:rPr>
          <w:t>Arizona: Resources available to support family and caregivers of vulnerable individuals</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 xml:space="preserve">To improve health care and create a safer environment for individuals with intellectual or development disabilities in Arizona, Governor Douglas </w:t>
      </w:r>
      <w:proofErr w:type="spellStart"/>
      <w:r w:rsidRPr="00C31663">
        <w:rPr>
          <w:rFonts w:ascii="UHC2020Sans-Medium" w:eastAsia="Times New Roman" w:hAnsi="UHC2020Sans-Medium" w:cs="Arial"/>
          <w:color w:val="000000"/>
          <w:sz w:val="24"/>
          <w:szCs w:val="24"/>
        </w:rPr>
        <w:t>Ducey</w:t>
      </w:r>
      <w:proofErr w:type="spellEnd"/>
      <w:r w:rsidRPr="00C31663">
        <w:rPr>
          <w:rFonts w:ascii="UHC2020Sans-Medium" w:eastAsia="Times New Roman" w:hAnsi="UHC2020Sans-Medium" w:cs="Arial"/>
          <w:color w:val="000000"/>
          <w:sz w:val="24"/>
          <w:szCs w:val="24"/>
        </w:rPr>
        <w:t xml:space="preserve"> formed the Abuse &amp; Neglect Prevention Task Force in 2019</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0" w:history="1">
        <w:r w:rsidRPr="00C31663">
          <w:rPr>
            <w:rFonts w:ascii="UHC2020Sans-Medium" w:eastAsia="Times New Roman" w:hAnsi="UHC2020Sans-Medium" w:cs="Arial"/>
            <w:b/>
            <w:bCs/>
            <w:color w:val="196ECF"/>
            <w:sz w:val="24"/>
            <w:szCs w:val="24"/>
            <w:u w:val="single"/>
          </w:rPr>
          <w:t>Arizona: Updated EPSDT clinical sample templates available now</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Updated versions of Arizona Health Care Cost Containment System (AHCCCS) Early and Periodic Screening, Diagnostic and Treatment (EPSDT) clinical sample templates are now available.</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1" w:history="1">
        <w:r w:rsidRPr="00C31663">
          <w:rPr>
            <w:rFonts w:ascii="UHC2020Sans-Medium" w:eastAsia="Times New Roman" w:hAnsi="UHC2020Sans-Medium" w:cs="Arial"/>
            <w:b/>
            <w:bCs/>
            <w:color w:val="196ECF"/>
            <w:sz w:val="24"/>
            <w:szCs w:val="24"/>
            <w:u w:val="single"/>
          </w:rPr>
          <w:t>Hawaii: CME training opportunity on vaccine hesitancy program now available</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All Med-QUEST Health Plans are pleased to offer providers with a new CME eligible training: “Vaccine Hesitancy: How to Identify and Approach the “Movable Middle”.</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2" w:history="1">
        <w:r w:rsidRPr="00C31663">
          <w:rPr>
            <w:rFonts w:ascii="UHC2020Sans-Medium" w:eastAsia="Times New Roman" w:hAnsi="UHC2020Sans-Medium" w:cs="Arial"/>
            <w:b/>
            <w:bCs/>
            <w:color w:val="196ECF"/>
            <w:sz w:val="24"/>
            <w:szCs w:val="24"/>
            <w:u w:val="single"/>
          </w:rPr>
          <w:t>Tennessee: See what's required for reportable events</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 xml:space="preserve">As of Jan. 1, 2022, all </w:t>
      </w:r>
      <w:proofErr w:type="spellStart"/>
      <w:r w:rsidRPr="00C31663">
        <w:rPr>
          <w:rFonts w:ascii="UHC2020Sans-Medium" w:eastAsia="Times New Roman" w:hAnsi="UHC2020Sans-Medium" w:cs="Arial"/>
          <w:color w:val="000000"/>
          <w:sz w:val="24"/>
          <w:szCs w:val="24"/>
        </w:rPr>
        <w:t>TennCare</w:t>
      </w:r>
      <w:proofErr w:type="spellEnd"/>
      <w:r w:rsidRPr="00C31663">
        <w:rPr>
          <w:rFonts w:ascii="UHC2020Sans-Medium" w:eastAsia="Times New Roman" w:hAnsi="UHC2020Sans-Medium" w:cs="Arial"/>
          <w:color w:val="000000"/>
          <w:sz w:val="24"/>
          <w:szCs w:val="24"/>
        </w:rPr>
        <w:t xml:space="preserve"> CHOICES in Long Term Services (CHOICES) and Employment and Community First (ECF) providers must use the reportable event management (REM) process developed by the Department of Developmental Disabilities (DIDD) and </w:t>
      </w:r>
      <w:proofErr w:type="spellStart"/>
      <w:r w:rsidRPr="00C31663">
        <w:rPr>
          <w:rFonts w:ascii="UHC2020Sans-Medium" w:eastAsia="Times New Roman" w:hAnsi="UHC2020Sans-Medium" w:cs="Arial"/>
          <w:color w:val="000000"/>
          <w:sz w:val="24"/>
          <w:szCs w:val="24"/>
        </w:rPr>
        <w:t>TennCare</w:t>
      </w:r>
      <w:proofErr w:type="spellEnd"/>
      <w:r w:rsidRPr="00C31663">
        <w:rPr>
          <w:rFonts w:ascii="UHC2020Sans-Medium" w:eastAsia="Times New Roman" w:hAnsi="UHC2020Sans-Medium" w:cs="Arial"/>
          <w:color w:val="000000"/>
          <w:sz w:val="24"/>
          <w:szCs w:val="24"/>
        </w:rPr>
        <w:t>.</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3" w:history="1">
        <w:r w:rsidRPr="00C31663">
          <w:rPr>
            <w:rFonts w:ascii="UHC2020Sans-Medium" w:eastAsia="Times New Roman" w:hAnsi="UHC2020Sans-Medium" w:cs="Arial"/>
            <w:b/>
            <w:bCs/>
            <w:color w:val="196ECF"/>
            <w:sz w:val="24"/>
            <w:szCs w:val="24"/>
            <w:u w:val="single"/>
          </w:rPr>
          <w:t>Tennessee: What you need to know about EPSDT screenings</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 xml:space="preserve">The early and periodic screening, diagnostic and treatment (EPSDT) screening benefit of </w:t>
      </w:r>
      <w:proofErr w:type="spellStart"/>
      <w:r w:rsidRPr="00C31663">
        <w:rPr>
          <w:rFonts w:ascii="UHC2020Sans-Medium" w:eastAsia="Times New Roman" w:hAnsi="UHC2020Sans-Medium" w:cs="Arial"/>
          <w:color w:val="000000"/>
          <w:sz w:val="24"/>
          <w:szCs w:val="24"/>
        </w:rPr>
        <w:t>UnitedHealthcare</w:t>
      </w:r>
      <w:proofErr w:type="spellEnd"/>
      <w:r w:rsidRPr="00C31663">
        <w:rPr>
          <w:rFonts w:ascii="UHC2020Sans-Medium" w:eastAsia="Times New Roman" w:hAnsi="UHC2020Sans-Medium" w:cs="Arial"/>
          <w:color w:val="000000"/>
          <w:sz w:val="24"/>
          <w:szCs w:val="24"/>
        </w:rPr>
        <w:t xml:space="preserve"> Community plan helps provide comprehensive and preventative health care services for children from birth through age 20.</w:t>
      </w:r>
    </w:p>
    <w:p w:rsidR="00C31663" w:rsidRPr="00C31663" w:rsidRDefault="00C31663" w:rsidP="00C31663">
      <w:pPr>
        <w:shd w:val="clear" w:color="auto" w:fill="FFFFFF"/>
        <w:spacing w:after="0" w:line="240" w:lineRule="auto"/>
        <w:rPr>
          <w:rFonts w:ascii="Arial" w:eastAsia="Times New Roman" w:hAnsi="Arial" w:cs="Arial"/>
          <w:color w:val="6F6F6F"/>
          <w:sz w:val="24"/>
          <w:szCs w:val="24"/>
        </w:rPr>
      </w:pPr>
      <w:r w:rsidRPr="00C31663">
        <w:rPr>
          <w:rFonts w:ascii="Arial" w:eastAsia="Times New Roman" w:hAnsi="Arial" w:cs="Arial"/>
          <w:color w:val="6F6F6F"/>
          <w:sz w:val="24"/>
          <w:szCs w:val="24"/>
        </w:rPr>
        <w:pict>
          <v:rect id="_x0000_i1027" style="width:0;height:0" o:hralign="center" o:hrstd="t" o:hr="t" fillcolor="#a0a0a0" stroked="f"/>
        </w:pict>
      </w:r>
    </w:p>
    <w:p w:rsidR="00C31663" w:rsidRPr="00C31663" w:rsidRDefault="00C31663" w:rsidP="00C31663">
      <w:pPr>
        <w:shd w:val="clear" w:color="auto" w:fill="FFFFFF"/>
        <w:spacing w:before="100" w:beforeAutospacing="1" w:after="100" w:afterAutospacing="1" w:line="240" w:lineRule="auto"/>
        <w:outlineLvl w:val="2"/>
        <w:rPr>
          <w:rFonts w:ascii="UHCSerifHeadline-Semibold" w:eastAsia="Times New Roman" w:hAnsi="UHCSerifHeadline-Semibold" w:cs="Arial"/>
          <w:b/>
          <w:bCs/>
          <w:color w:val="002677"/>
          <w:sz w:val="27"/>
          <w:szCs w:val="27"/>
        </w:rPr>
      </w:pPr>
      <w:r w:rsidRPr="00C31663">
        <w:rPr>
          <w:rFonts w:ascii="UHCSerifHeadline-Semibold" w:eastAsia="Times New Roman" w:hAnsi="UHCSerifHeadline-Semibold" w:cs="Arial"/>
          <w:b/>
          <w:bCs/>
          <w:color w:val="002677"/>
          <w:sz w:val="27"/>
          <w:szCs w:val="27"/>
        </w:rPr>
        <w:t>Claims and payment updates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4" w:history="1">
        <w:r w:rsidRPr="00C31663">
          <w:rPr>
            <w:rFonts w:ascii="UHC2020Sans-Medium" w:eastAsia="Times New Roman" w:hAnsi="UHC2020Sans-Medium" w:cs="Arial"/>
            <w:b/>
            <w:bCs/>
            <w:color w:val="196ECF"/>
            <w:sz w:val="24"/>
            <w:szCs w:val="24"/>
            <w:u w:val="single"/>
          </w:rPr>
          <w:t>Important details about charging D-SNP members for non-covered services</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The Centers for Medicare &amp; Medicaid (CMS) requires all Medicare members, including Dual Eligible Special Needs Plan (D-SNP) members to know costs prior to receiving non-covered services.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5" w:history="1">
        <w:r w:rsidRPr="00C31663">
          <w:rPr>
            <w:rFonts w:ascii="UHC2020Sans-Medium" w:eastAsia="Times New Roman" w:hAnsi="UHC2020Sans-Medium" w:cs="Arial"/>
            <w:b/>
            <w:bCs/>
            <w:color w:val="196ECF"/>
            <w:sz w:val="24"/>
            <w:szCs w:val="24"/>
            <w:u w:val="single"/>
          </w:rPr>
          <w:t>New outpatient procedure grouper mapping exhibits for 2022</w:t>
        </w:r>
        <w:r w:rsidRPr="00C31663">
          <w:rPr>
            <w:rFonts w:ascii="UHC2020Sans-Medium" w:eastAsia="Times New Roman" w:hAnsi="UHC2020Sans-Medium" w:cs="Arial"/>
            <w:b/>
            <w:bCs/>
            <w:color w:val="196ECF"/>
            <w:sz w:val="24"/>
            <w:szCs w:val="24"/>
          </w:rPr>
          <w:br/>
        </w:r>
      </w:hyperlink>
      <w:r w:rsidRPr="00C31663">
        <w:rPr>
          <w:rFonts w:ascii="UHC2020Sans-Medium" w:eastAsia="Times New Roman" w:hAnsi="UHC2020Sans-Medium" w:cs="Arial"/>
          <w:color w:val="000000"/>
          <w:sz w:val="24"/>
          <w:szCs w:val="24"/>
        </w:rPr>
        <w:t>Effective </w:t>
      </w:r>
      <w:r w:rsidRPr="00C31663">
        <w:rPr>
          <w:rFonts w:ascii="UHC2020Sans-Bold" w:eastAsia="Times New Roman" w:hAnsi="UHC2020Sans-Bold" w:cs="Arial"/>
          <w:b/>
          <w:bCs/>
          <w:color w:val="000000"/>
          <w:sz w:val="24"/>
          <w:szCs w:val="24"/>
        </w:rPr>
        <w:t>July 1, 2022</w:t>
      </w:r>
      <w:r w:rsidRPr="00C31663">
        <w:rPr>
          <w:rFonts w:ascii="UHC2020Sans-Medium" w:eastAsia="Times New Roman" w:hAnsi="UHC2020Sans-Medium" w:cs="Arial"/>
          <w:color w:val="000000"/>
          <w:sz w:val="24"/>
          <w:szCs w:val="24"/>
        </w:rPr>
        <w:t>, we’re updating the outpatient procedure grouper (OPG) mapping exhibits to reflect the codes that are eligible for reimbursement for outpatient procedures and other services.</w:t>
      </w:r>
    </w:p>
    <w:p w:rsidR="00C31663" w:rsidRPr="00C31663" w:rsidRDefault="00C31663" w:rsidP="00C31663">
      <w:pPr>
        <w:shd w:val="clear" w:color="auto" w:fill="FFFFFF"/>
        <w:spacing w:after="0" w:line="240" w:lineRule="auto"/>
        <w:rPr>
          <w:rFonts w:ascii="Arial" w:eastAsia="Times New Roman" w:hAnsi="Arial" w:cs="Arial"/>
          <w:color w:val="6F6F6F"/>
          <w:sz w:val="24"/>
          <w:szCs w:val="24"/>
        </w:rPr>
      </w:pPr>
      <w:r w:rsidRPr="00C31663">
        <w:rPr>
          <w:rFonts w:ascii="Arial" w:eastAsia="Times New Roman" w:hAnsi="Arial" w:cs="Arial"/>
          <w:color w:val="6F6F6F"/>
          <w:sz w:val="24"/>
          <w:szCs w:val="24"/>
        </w:rPr>
        <w:pict>
          <v:rect id="_x0000_i1028" style="width:0;height:0" o:hralign="center" o:hrstd="t" o:hr="t" fillcolor="#a0a0a0" stroked="f"/>
        </w:pict>
      </w:r>
    </w:p>
    <w:p w:rsidR="00C31663" w:rsidRPr="00C31663" w:rsidRDefault="00C31663" w:rsidP="00C31663">
      <w:pPr>
        <w:shd w:val="clear" w:color="auto" w:fill="FFFFFF"/>
        <w:spacing w:before="100" w:beforeAutospacing="1" w:after="100" w:afterAutospacing="1" w:line="240" w:lineRule="auto"/>
        <w:outlineLvl w:val="2"/>
        <w:rPr>
          <w:rFonts w:ascii="UHCSerifHeadline-Semibold" w:eastAsia="Times New Roman" w:hAnsi="UHCSerifHeadline-Semibold" w:cs="Arial"/>
          <w:b/>
          <w:bCs/>
          <w:color w:val="002677"/>
          <w:sz w:val="27"/>
          <w:szCs w:val="27"/>
        </w:rPr>
      </w:pPr>
      <w:r w:rsidRPr="00C31663">
        <w:rPr>
          <w:rFonts w:ascii="UHCSerifHeadline-Semibold" w:eastAsia="Times New Roman" w:hAnsi="UHCSerifHeadline-Semibold" w:cs="Arial"/>
          <w:b/>
          <w:bCs/>
          <w:color w:val="002677"/>
          <w:sz w:val="27"/>
          <w:szCs w:val="27"/>
        </w:rPr>
        <w:t xml:space="preserve">Other </w:t>
      </w:r>
      <w:proofErr w:type="spellStart"/>
      <w:r w:rsidRPr="00C31663">
        <w:rPr>
          <w:rFonts w:ascii="UHCSerifHeadline-Semibold" w:eastAsia="Times New Roman" w:hAnsi="UHCSerifHeadline-Semibold" w:cs="Arial"/>
          <w:b/>
          <w:bCs/>
          <w:color w:val="002677"/>
          <w:sz w:val="27"/>
          <w:szCs w:val="27"/>
        </w:rPr>
        <w:t>UnitedHealthcare</w:t>
      </w:r>
      <w:proofErr w:type="spellEnd"/>
      <w:r w:rsidRPr="00C31663">
        <w:rPr>
          <w:rFonts w:ascii="UHCSerifHeadline-Semibold" w:eastAsia="Times New Roman" w:hAnsi="UHCSerifHeadline-Semibold" w:cs="Arial"/>
          <w:b/>
          <w:bCs/>
          <w:color w:val="002677"/>
          <w:sz w:val="27"/>
          <w:szCs w:val="27"/>
        </w:rPr>
        <w:t xml:space="preserve"> news</w:t>
      </w:r>
    </w:p>
    <w:p w:rsidR="00C31663" w:rsidRPr="00C31663" w:rsidRDefault="00C31663" w:rsidP="00C31663">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hyperlink r:id="rId26" w:history="1">
        <w:r w:rsidRPr="00C31663">
          <w:rPr>
            <w:rFonts w:ascii="UHC2020Sans-Medium" w:eastAsia="Times New Roman" w:hAnsi="UHC2020Sans-Medium" w:cs="Arial"/>
            <w:b/>
            <w:bCs/>
            <w:color w:val="196ECF"/>
            <w:sz w:val="24"/>
            <w:szCs w:val="24"/>
            <w:u w:val="single"/>
          </w:rPr>
          <w:t>Action required: 10-minute Model of Care training</w:t>
        </w:r>
        <w:r w:rsidRPr="00C31663">
          <w:rPr>
            <w:rFonts w:ascii="UHC2020Sans-Bold" w:eastAsia="Times New Roman" w:hAnsi="UHC2020Sans-Bold" w:cs="Arial"/>
            <w:b/>
            <w:bCs/>
            <w:color w:val="196ECF"/>
            <w:sz w:val="24"/>
            <w:szCs w:val="24"/>
          </w:rPr>
          <w:br/>
        </w:r>
      </w:hyperlink>
      <w:r w:rsidRPr="00C31663">
        <w:rPr>
          <w:rFonts w:ascii="UHC2020Sans-Medium" w:eastAsia="Times New Roman" w:hAnsi="UHC2020Sans-Medium" w:cs="Arial"/>
          <w:color w:val="000000"/>
          <w:sz w:val="24"/>
          <w:szCs w:val="24"/>
        </w:rPr>
        <w:t>The Centers for Medicare &amp; Medicaid Services (CMS) requires all special needs plans (SNPs) to provide initial and annual Model of Care (MOC) training to health care professionals contracted to see SNP members and out-of-network providers who routinely see SNP members. </w:t>
      </w:r>
    </w:p>
    <w:p w:rsidR="00C31663" w:rsidRPr="00C31663" w:rsidRDefault="00C31663" w:rsidP="00C31663">
      <w:pPr>
        <w:shd w:val="clear" w:color="auto" w:fill="FFFFFF"/>
        <w:spacing w:before="100" w:beforeAutospacing="1" w:after="100" w:afterAutospacing="1" w:line="240" w:lineRule="auto"/>
        <w:outlineLvl w:val="5"/>
        <w:rPr>
          <w:rFonts w:ascii="UHC2020Sans-Bold" w:eastAsia="Times New Roman" w:hAnsi="UHC2020Sans-Bold" w:cs="Arial"/>
          <w:b/>
          <w:bCs/>
          <w:color w:val="002677"/>
          <w:sz w:val="15"/>
          <w:szCs w:val="15"/>
        </w:rPr>
      </w:pPr>
      <w:r w:rsidRPr="00C31663">
        <w:rPr>
          <w:rFonts w:ascii="UHC2020Sans-Bold" w:eastAsia="Times New Roman" w:hAnsi="UHC2020Sans-Bold" w:cs="Arial"/>
          <w:b/>
          <w:bCs/>
          <w:color w:val="002677"/>
          <w:sz w:val="15"/>
          <w:szCs w:val="15"/>
        </w:rPr>
        <w:t>PCA-22-00749-MarComm-WEB_03232022</w:t>
      </w:r>
    </w:p>
    <w:p w:rsidR="000C13A3" w:rsidRPr="00C31663" w:rsidRDefault="000C13A3" w:rsidP="00C31663"/>
    <w:sectPr w:rsidR="000C13A3" w:rsidRPr="00C3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HCSerifHeadline-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HC2020Sans-Medium">
    <w:altName w:val="Times New Roman"/>
    <w:panose1 w:val="00000000000000000000"/>
    <w:charset w:val="00"/>
    <w:family w:val="roman"/>
    <w:notTrueType/>
    <w:pitch w:val="default"/>
  </w:font>
  <w:font w:name="UHC2020Sans-Bold">
    <w:altName w:val="Times New Roman"/>
    <w:panose1 w:val="00000000000000000000"/>
    <w:charset w:val="00"/>
    <w:family w:val="roman"/>
    <w:notTrueType/>
    <w:pitch w:val="default"/>
  </w:font>
  <w:font w:name="UHC2020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3"/>
    <w:rsid w:val="000C13A3"/>
    <w:rsid w:val="00C3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E790-ABDC-41FA-8884-37BFCBD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1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16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316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16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166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31663"/>
    <w:rPr>
      <w:rFonts w:ascii="Times New Roman" w:eastAsia="Times New Roman" w:hAnsi="Times New Roman" w:cs="Times New Roman"/>
      <w:b/>
      <w:bCs/>
      <w:sz w:val="15"/>
      <w:szCs w:val="15"/>
    </w:rPr>
  </w:style>
  <w:style w:type="character" w:customStyle="1" w:styleId="material-icons">
    <w:name w:val="material-icons"/>
    <w:basedOn w:val="DefaultParagraphFont"/>
    <w:rsid w:val="00C31663"/>
  </w:style>
  <w:style w:type="paragraph" w:styleId="NormalWeb">
    <w:name w:val="Normal (Web)"/>
    <w:basedOn w:val="Normal"/>
    <w:uiPriority w:val="99"/>
    <w:semiHidden/>
    <w:unhideWhenUsed/>
    <w:rsid w:val="00C31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663"/>
    <w:rPr>
      <w:color w:val="0000FF"/>
      <w:u w:val="single"/>
    </w:rPr>
  </w:style>
  <w:style w:type="character" w:customStyle="1" w:styleId="disclaimer">
    <w:name w:val="disclaimer"/>
    <w:basedOn w:val="DefaultParagraphFont"/>
    <w:rsid w:val="00C3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29072">
      <w:bodyDiv w:val="1"/>
      <w:marLeft w:val="0"/>
      <w:marRight w:val="0"/>
      <w:marTop w:val="0"/>
      <w:marBottom w:val="0"/>
      <w:divBdr>
        <w:top w:val="none" w:sz="0" w:space="0" w:color="auto"/>
        <w:left w:val="none" w:sz="0" w:space="0" w:color="auto"/>
        <w:bottom w:val="none" w:sz="0" w:space="0" w:color="auto"/>
        <w:right w:val="none" w:sz="0" w:space="0" w:color="auto"/>
      </w:divBdr>
      <w:divsChild>
        <w:div w:id="1694266010">
          <w:marLeft w:val="0"/>
          <w:marRight w:val="0"/>
          <w:marTop w:val="0"/>
          <w:marBottom w:val="0"/>
          <w:divBdr>
            <w:top w:val="none" w:sz="0" w:space="0" w:color="auto"/>
            <w:left w:val="none" w:sz="0" w:space="0" w:color="auto"/>
            <w:bottom w:val="none" w:sz="0" w:space="0" w:color="auto"/>
            <w:right w:val="none" w:sz="0" w:space="0" w:color="auto"/>
          </w:divBdr>
        </w:div>
        <w:div w:id="549652240">
          <w:marLeft w:val="0"/>
          <w:marRight w:val="0"/>
          <w:marTop w:val="0"/>
          <w:marBottom w:val="0"/>
          <w:divBdr>
            <w:top w:val="none" w:sz="0" w:space="0" w:color="auto"/>
            <w:left w:val="none" w:sz="0" w:space="0" w:color="auto"/>
            <w:bottom w:val="none" w:sz="0" w:space="0" w:color="auto"/>
            <w:right w:val="none" w:sz="0" w:space="0" w:color="auto"/>
          </w:divBdr>
          <w:divsChild>
            <w:div w:id="695886532">
              <w:marLeft w:val="0"/>
              <w:marRight w:val="0"/>
              <w:marTop w:val="0"/>
              <w:marBottom w:val="0"/>
              <w:divBdr>
                <w:top w:val="none" w:sz="0" w:space="0" w:color="auto"/>
                <w:left w:val="none" w:sz="0" w:space="0" w:color="auto"/>
                <w:bottom w:val="none" w:sz="0" w:space="0" w:color="auto"/>
                <w:right w:val="none" w:sz="0" w:space="0" w:color="auto"/>
              </w:divBdr>
            </w:div>
          </w:divsChild>
        </w:div>
        <w:div w:id="1897429695">
          <w:marLeft w:val="0"/>
          <w:marRight w:val="0"/>
          <w:marTop w:val="0"/>
          <w:marBottom w:val="0"/>
          <w:divBdr>
            <w:top w:val="none" w:sz="0" w:space="0" w:color="auto"/>
            <w:left w:val="none" w:sz="0" w:space="0" w:color="auto"/>
            <w:bottom w:val="none" w:sz="0" w:space="0" w:color="auto"/>
            <w:right w:val="none" w:sz="0" w:space="0" w:color="auto"/>
          </w:divBdr>
          <w:divsChild>
            <w:div w:id="30617306">
              <w:marLeft w:val="0"/>
              <w:marRight w:val="0"/>
              <w:marTop w:val="0"/>
              <w:marBottom w:val="0"/>
              <w:divBdr>
                <w:top w:val="none" w:sz="0" w:space="0" w:color="auto"/>
                <w:left w:val="none" w:sz="0" w:space="0" w:color="auto"/>
                <w:bottom w:val="none" w:sz="0" w:space="0" w:color="auto"/>
                <w:right w:val="none" w:sz="0" w:space="0" w:color="auto"/>
              </w:divBdr>
            </w:div>
          </w:divsChild>
        </w:div>
        <w:div w:id="983698230">
          <w:marLeft w:val="0"/>
          <w:marRight w:val="0"/>
          <w:marTop w:val="0"/>
          <w:marBottom w:val="0"/>
          <w:divBdr>
            <w:top w:val="none" w:sz="0" w:space="0" w:color="auto"/>
            <w:left w:val="none" w:sz="0" w:space="0" w:color="auto"/>
            <w:bottom w:val="none" w:sz="0" w:space="0" w:color="auto"/>
            <w:right w:val="none" w:sz="0" w:space="0" w:color="auto"/>
          </w:divBdr>
          <w:divsChild>
            <w:div w:id="810944317">
              <w:marLeft w:val="0"/>
              <w:marRight w:val="0"/>
              <w:marTop w:val="0"/>
              <w:marBottom w:val="0"/>
              <w:divBdr>
                <w:top w:val="none" w:sz="0" w:space="0" w:color="auto"/>
                <w:left w:val="none" w:sz="0" w:space="0" w:color="auto"/>
                <w:bottom w:val="none" w:sz="0" w:space="0" w:color="auto"/>
                <w:right w:val="none" w:sz="0" w:space="0" w:color="auto"/>
              </w:divBdr>
            </w:div>
          </w:divsChild>
        </w:div>
        <w:div w:id="879634301">
          <w:marLeft w:val="0"/>
          <w:marRight w:val="0"/>
          <w:marTop w:val="0"/>
          <w:marBottom w:val="0"/>
          <w:divBdr>
            <w:top w:val="none" w:sz="0" w:space="0" w:color="auto"/>
            <w:left w:val="none" w:sz="0" w:space="0" w:color="auto"/>
            <w:bottom w:val="none" w:sz="0" w:space="0" w:color="auto"/>
            <w:right w:val="none" w:sz="0" w:space="0" w:color="auto"/>
          </w:divBdr>
          <w:divsChild>
            <w:div w:id="806553412">
              <w:marLeft w:val="0"/>
              <w:marRight w:val="0"/>
              <w:marTop w:val="0"/>
              <w:marBottom w:val="0"/>
              <w:divBdr>
                <w:top w:val="none" w:sz="0" w:space="0" w:color="auto"/>
                <w:left w:val="none" w:sz="0" w:space="0" w:color="auto"/>
                <w:bottom w:val="none" w:sz="0" w:space="0" w:color="auto"/>
                <w:right w:val="none" w:sz="0" w:space="0" w:color="auto"/>
              </w:divBdr>
            </w:div>
          </w:divsChild>
        </w:div>
        <w:div w:id="1259171633">
          <w:marLeft w:val="0"/>
          <w:marRight w:val="0"/>
          <w:marTop w:val="0"/>
          <w:marBottom w:val="0"/>
          <w:divBdr>
            <w:top w:val="none" w:sz="0" w:space="0" w:color="auto"/>
            <w:left w:val="none" w:sz="0" w:space="0" w:color="auto"/>
            <w:bottom w:val="none" w:sz="0" w:space="0" w:color="auto"/>
            <w:right w:val="none" w:sz="0" w:space="0" w:color="auto"/>
          </w:divBdr>
          <w:divsChild>
            <w:div w:id="1887326469">
              <w:marLeft w:val="0"/>
              <w:marRight w:val="0"/>
              <w:marTop w:val="0"/>
              <w:marBottom w:val="0"/>
              <w:divBdr>
                <w:top w:val="none" w:sz="0" w:space="0" w:color="auto"/>
                <w:left w:val="none" w:sz="0" w:space="0" w:color="auto"/>
                <w:bottom w:val="none" w:sz="0" w:space="0" w:color="auto"/>
                <w:right w:val="none" w:sz="0" w:space="0" w:color="auto"/>
              </w:divBdr>
            </w:div>
          </w:divsChild>
        </w:div>
        <w:div w:id="1022438073">
          <w:marLeft w:val="0"/>
          <w:marRight w:val="0"/>
          <w:marTop w:val="0"/>
          <w:marBottom w:val="0"/>
          <w:divBdr>
            <w:top w:val="none" w:sz="0" w:space="0" w:color="auto"/>
            <w:left w:val="none" w:sz="0" w:space="0" w:color="auto"/>
            <w:bottom w:val="none" w:sz="0" w:space="0" w:color="auto"/>
            <w:right w:val="none" w:sz="0" w:space="0" w:color="auto"/>
          </w:divBdr>
          <w:divsChild>
            <w:div w:id="1415275098">
              <w:marLeft w:val="0"/>
              <w:marRight w:val="0"/>
              <w:marTop w:val="0"/>
              <w:marBottom w:val="0"/>
              <w:divBdr>
                <w:top w:val="none" w:sz="0" w:space="0" w:color="auto"/>
                <w:left w:val="none" w:sz="0" w:space="0" w:color="auto"/>
                <w:bottom w:val="none" w:sz="0" w:space="0" w:color="auto"/>
                <w:right w:val="none" w:sz="0" w:space="0" w:color="auto"/>
              </w:divBdr>
            </w:div>
          </w:divsChild>
        </w:div>
        <w:div w:id="1152522551">
          <w:marLeft w:val="0"/>
          <w:marRight w:val="0"/>
          <w:marTop w:val="0"/>
          <w:marBottom w:val="0"/>
          <w:divBdr>
            <w:top w:val="none" w:sz="0" w:space="0" w:color="auto"/>
            <w:left w:val="none" w:sz="0" w:space="0" w:color="auto"/>
            <w:bottom w:val="none" w:sz="0" w:space="0" w:color="auto"/>
            <w:right w:val="none" w:sz="0" w:space="0" w:color="auto"/>
          </w:divBdr>
          <w:divsChild>
            <w:div w:id="418599076">
              <w:marLeft w:val="0"/>
              <w:marRight w:val="0"/>
              <w:marTop w:val="0"/>
              <w:marBottom w:val="0"/>
              <w:divBdr>
                <w:top w:val="none" w:sz="0" w:space="0" w:color="auto"/>
                <w:left w:val="none" w:sz="0" w:space="0" w:color="auto"/>
                <w:bottom w:val="none" w:sz="0" w:space="0" w:color="auto"/>
                <w:right w:val="none" w:sz="0" w:space="0" w:color="auto"/>
              </w:divBdr>
            </w:div>
          </w:divsChild>
        </w:div>
        <w:div w:id="318507734">
          <w:marLeft w:val="0"/>
          <w:marRight w:val="0"/>
          <w:marTop w:val="0"/>
          <w:marBottom w:val="0"/>
          <w:divBdr>
            <w:top w:val="none" w:sz="0" w:space="0" w:color="auto"/>
            <w:left w:val="none" w:sz="0" w:space="0" w:color="auto"/>
            <w:bottom w:val="none" w:sz="0" w:space="0" w:color="auto"/>
            <w:right w:val="none" w:sz="0" w:space="0" w:color="auto"/>
          </w:divBdr>
          <w:divsChild>
            <w:div w:id="1968194075">
              <w:marLeft w:val="0"/>
              <w:marRight w:val="0"/>
              <w:marTop w:val="0"/>
              <w:marBottom w:val="0"/>
              <w:divBdr>
                <w:top w:val="none" w:sz="0" w:space="0" w:color="auto"/>
                <w:left w:val="none" w:sz="0" w:space="0" w:color="auto"/>
                <w:bottom w:val="none" w:sz="0" w:space="0" w:color="auto"/>
                <w:right w:val="none" w:sz="0" w:space="0" w:color="auto"/>
              </w:divBdr>
            </w:div>
          </w:divsChild>
        </w:div>
        <w:div w:id="1080101957">
          <w:marLeft w:val="0"/>
          <w:marRight w:val="0"/>
          <w:marTop w:val="0"/>
          <w:marBottom w:val="0"/>
          <w:divBdr>
            <w:top w:val="none" w:sz="0" w:space="0" w:color="auto"/>
            <w:left w:val="none" w:sz="0" w:space="0" w:color="auto"/>
            <w:bottom w:val="none" w:sz="0" w:space="0" w:color="auto"/>
            <w:right w:val="none" w:sz="0" w:space="0" w:color="auto"/>
          </w:divBdr>
          <w:divsChild>
            <w:div w:id="1037319898">
              <w:marLeft w:val="0"/>
              <w:marRight w:val="0"/>
              <w:marTop w:val="0"/>
              <w:marBottom w:val="0"/>
              <w:divBdr>
                <w:top w:val="none" w:sz="0" w:space="0" w:color="auto"/>
                <w:left w:val="none" w:sz="0" w:space="0" w:color="auto"/>
                <w:bottom w:val="none" w:sz="0" w:space="0" w:color="auto"/>
                <w:right w:val="none" w:sz="0" w:space="0" w:color="auto"/>
              </w:divBdr>
            </w:div>
          </w:divsChild>
        </w:div>
        <w:div w:id="344134949">
          <w:marLeft w:val="0"/>
          <w:marRight w:val="0"/>
          <w:marTop w:val="0"/>
          <w:marBottom w:val="0"/>
          <w:divBdr>
            <w:top w:val="none" w:sz="0" w:space="0" w:color="auto"/>
            <w:left w:val="none" w:sz="0" w:space="0" w:color="auto"/>
            <w:bottom w:val="none" w:sz="0" w:space="0" w:color="auto"/>
            <w:right w:val="none" w:sz="0" w:space="0" w:color="auto"/>
          </w:divBdr>
          <w:divsChild>
            <w:div w:id="1077551424">
              <w:marLeft w:val="0"/>
              <w:marRight w:val="0"/>
              <w:marTop w:val="0"/>
              <w:marBottom w:val="0"/>
              <w:divBdr>
                <w:top w:val="none" w:sz="0" w:space="0" w:color="auto"/>
                <w:left w:val="none" w:sz="0" w:space="0" w:color="auto"/>
                <w:bottom w:val="none" w:sz="0" w:space="0" w:color="auto"/>
                <w:right w:val="none" w:sz="0" w:space="0" w:color="auto"/>
              </w:divBdr>
            </w:div>
          </w:divsChild>
        </w:div>
        <w:div w:id="1397048151">
          <w:marLeft w:val="0"/>
          <w:marRight w:val="0"/>
          <w:marTop w:val="0"/>
          <w:marBottom w:val="0"/>
          <w:divBdr>
            <w:top w:val="none" w:sz="0" w:space="0" w:color="auto"/>
            <w:left w:val="none" w:sz="0" w:space="0" w:color="auto"/>
            <w:bottom w:val="none" w:sz="0" w:space="0" w:color="auto"/>
            <w:right w:val="none" w:sz="0" w:space="0" w:color="auto"/>
          </w:divBdr>
          <w:divsChild>
            <w:div w:id="759444686">
              <w:marLeft w:val="0"/>
              <w:marRight w:val="0"/>
              <w:marTop w:val="0"/>
              <w:marBottom w:val="0"/>
              <w:divBdr>
                <w:top w:val="none" w:sz="0" w:space="0" w:color="auto"/>
                <w:left w:val="none" w:sz="0" w:space="0" w:color="auto"/>
                <w:bottom w:val="none" w:sz="0" w:space="0" w:color="auto"/>
                <w:right w:val="none" w:sz="0" w:space="0" w:color="auto"/>
              </w:divBdr>
            </w:div>
          </w:divsChild>
        </w:div>
        <w:div w:id="1710909065">
          <w:marLeft w:val="0"/>
          <w:marRight w:val="0"/>
          <w:marTop w:val="0"/>
          <w:marBottom w:val="0"/>
          <w:divBdr>
            <w:top w:val="none" w:sz="0" w:space="0" w:color="auto"/>
            <w:left w:val="none" w:sz="0" w:space="0" w:color="auto"/>
            <w:bottom w:val="none" w:sz="0" w:space="0" w:color="auto"/>
            <w:right w:val="none" w:sz="0" w:space="0" w:color="auto"/>
          </w:divBdr>
          <w:divsChild>
            <w:div w:id="67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provider.com/en/resource-library/news/2022/ca-blood-screening.html" TargetMode="External"/><Relationship Id="rId13" Type="http://schemas.openxmlformats.org/officeDocument/2006/relationships/hyperlink" Target="https://www.uhcprovider.com/en/resource-library/news/2022/ny-sd-ed.html" TargetMode="External"/><Relationship Id="rId18" Type="http://schemas.openxmlformats.org/officeDocument/2006/relationships/hyperlink" Target="https://www.uhcprovider.com/en/resource-library/news/2022/oncology-meds-commercial.html" TargetMode="External"/><Relationship Id="rId26" Type="http://schemas.openxmlformats.org/officeDocument/2006/relationships/hyperlink" Target="https://www.uhcprovider.com/en/resource-library/news/2022/snp-moc-training.html" TargetMode="External"/><Relationship Id="rId3" Type="http://schemas.openxmlformats.org/officeDocument/2006/relationships/webSettings" Target="webSettings.xml"/><Relationship Id="rId21" Type="http://schemas.openxmlformats.org/officeDocument/2006/relationships/hyperlink" Target="https://www.uhcprovider.com/en/resource-library/news/2022/hi-cme-training.html" TargetMode="External"/><Relationship Id="rId7" Type="http://schemas.openxmlformats.org/officeDocument/2006/relationships/hyperlink" Target="https://www.uhcprovider.com/en/resource-library/news/2022/al-home-health-review.html" TargetMode="External"/><Relationship Id="rId12" Type="http://schemas.openxmlformats.org/officeDocument/2006/relationships/hyperlink" Target="https://www.uhcprovider.com/en/resource-library/news/2022/mn-injectable-chemo-update.html" TargetMode="External"/><Relationship Id="rId17" Type="http://schemas.openxmlformats.org/officeDocument/2006/relationships/hyperlink" Target="https://www.uhcprovider.com/en/resource-library/news/2022/specialty-pharmacy-updates.html" TargetMode="External"/><Relationship Id="rId25" Type="http://schemas.openxmlformats.org/officeDocument/2006/relationships/hyperlink" Target="https://www.uhcprovider.com/en/resource-library/news/2022/opg-mapping-exhibits.html" TargetMode="External"/><Relationship Id="rId2" Type="http://schemas.openxmlformats.org/officeDocument/2006/relationships/settings" Target="settings.xml"/><Relationship Id="rId16" Type="http://schemas.openxmlformats.org/officeDocument/2006/relationships/hyperlink" Target="https://www.uhcprovider.com/en/resource-library/news/2022/vaccn-home-health-updates.html" TargetMode="External"/><Relationship Id="rId20" Type="http://schemas.openxmlformats.org/officeDocument/2006/relationships/hyperlink" Target="https://www.uhcprovider.com/en/resource-library/news/2022/az-ahccs-epsdt.html" TargetMode="External"/><Relationship Id="rId1" Type="http://schemas.openxmlformats.org/officeDocument/2006/relationships/styles" Target="styles.xml"/><Relationship Id="rId6" Type="http://schemas.openxmlformats.org/officeDocument/2006/relationships/hyperlink" Target="https://www.uhcprovider.com/en/resource-library/news/2022/sdub-updates-apr-2022.html" TargetMode="External"/><Relationship Id="rId11" Type="http://schemas.openxmlformats.org/officeDocument/2006/relationships/hyperlink" Target="https://www.uhcprovider.com/en/resource-library/news/2022/la-sinus.html" TargetMode="External"/><Relationship Id="rId24" Type="http://schemas.openxmlformats.org/officeDocument/2006/relationships/hyperlink" Target="https://www.uhcprovider.com/en/resource-library/news/2022/med-adv-non-covered-services.html" TargetMode="External"/><Relationship Id="rId5" Type="http://schemas.openxmlformats.org/officeDocument/2006/relationships/hyperlink" Target="https://www.uhcprovider.com/en/resource-library/news/2022/rpub-april-2022.html" TargetMode="External"/><Relationship Id="rId15" Type="http://schemas.openxmlformats.org/officeDocument/2006/relationships/hyperlink" Target="https://www.uhcprovider.com/en/resource-library/news/2022/tx-pharmacy-prior-auth.html" TargetMode="External"/><Relationship Id="rId23" Type="http://schemas.openxmlformats.org/officeDocument/2006/relationships/hyperlink" Target="https://www.uhcprovider.com/en/resource-library/news/2022/tn-epsdt-screenings.html" TargetMode="External"/><Relationship Id="rId28" Type="http://schemas.openxmlformats.org/officeDocument/2006/relationships/theme" Target="theme/theme1.xml"/><Relationship Id="rId10" Type="http://schemas.openxmlformats.org/officeDocument/2006/relationships/hyperlink" Target="https://www.uhcprovider.com/en/resource-library/news/2022/ky-incarceration-updates.html" TargetMode="External"/><Relationship Id="rId19" Type="http://schemas.openxmlformats.org/officeDocument/2006/relationships/hyperlink" Target="https://www.uhcprovider.com/en/resource-library/news/2022/az-abuse-neglect-prevention.html" TargetMode="External"/><Relationship Id="rId4" Type="http://schemas.openxmlformats.org/officeDocument/2006/relationships/hyperlink" Target="https://www.uhcprovider.com/en/resource-library/news/2022/mpub-updates-apr-2022.html" TargetMode="External"/><Relationship Id="rId9" Type="http://schemas.openxmlformats.org/officeDocument/2006/relationships/hyperlink" Target="https://www.uhcprovider.com/en/resource-library/news/2022/co-ky-tn-home-health.html" TargetMode="External"/><Relationship Id="rId14" Type="http://schemas.openxmlformats.org/officeDocument/2006/relationships/hyperlink" Target="https://www.uhcprovider.com/en/resource-library/news/2022/nc-pcs-claim-denials.html" TargetMode="External"/><Relationship Id="rId22" Type="http://schemas.openxmlformats.org/officeDocument/2006/relationships/hyperlink" Target="https://www.uhcprovider.com/en/resource-library/news/2022/tn-reportable-even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2022-04-25T12:55:00Z</dcterms:created>
  <dcterms:modified xsi:type="dcterms:W3CDTF">2022-04-25T12:57:00Z</dcterms:modified>
</cp:coreProperties>
</file>