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E7E7E8"/>
        <w:tblCellMar>
          <w:left w:w="0" w:type="dxa"/>
          <w:right w:w="0" w:type="dxa"/>
        </w:tblCellMar>
        <w:tblLook w:val="04A0" w:firstRow="1" w:lastRow="0" w:firstColumn="1" w:lastColumn="0" w:noHBand="0" w:noVBand="1"/>
      </w:tblPr>
      <w:tblGrid>
        <w:gridCol w:w="9360"/>
      </w:tblGrid>
      <w:tr w:rsidR="00BF4577" w:rsidTr="00BF4577">
        <w:tc>
          <w:tcPr>
            <w:tcW w:w="0" w:type="auto"/>
            <w:shd w:val="clear" w:color="auto" w:fill="E7E7E8"/>
            <w:hideMark/>
          </w:tcPr>
          <w:tbl>
            <w:tblPr>
              <w:tblW w:w="8700" w:type="dxa"/>
              <w:jc w:val="center"/>
              <w:tblCellMar>
                <w:left w:w="0" w:type="dxa"/>
                <w:right w:w="0" w:type="dxa"/>
              </w:tblCellMar>
              <w:tblLook w:val="04A0" w:firstRow="1" w:lastRow="0" w:firstColumn="1" w:lastColumn="0" w:noHBand="0" w:noVBand="1"/>
            </w:tblPr>
            <w:tblGrid>
              <w:gridCol w:w="8706"/>
            </w:tblGrid>
            <w:tr w:rsidR="00BF45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06"/>
                  </w:tblGrid>
                  <w:tr w:rsidR="00BF4577">
                    <w:tc>
                      <w:tcPr>
                        <w:tcW w:w="0" w:type="auto"/>
                        <w:hideMark/>
                      </w:tcPr>
                      <w:tbl>
                        <w:tblPr>
                          <w:tblW w:w="8700" w:type="dxa"/>
                          <w:tblCellMar>
                            <w:left w:w="0" w:type="dxa"/>
                            <w:right w:w="0" w:type="dxa"/>
                          </w:tblCellMar>
                          <w:tblLook w:val="04A0" w:firstRow="1" w:lastRow="0" w:firstColumn="1" w:lastColumn="0" w:noHBand="0" w:noVBand="1"/>
                        </w:tblPr>
                        <w:tblGrid>
                          <w:gridCol w:w="4347"/>
                          <w:gridCol w:w="4347"/>
                          <w:gridCol w:w="6"/>
                        </w:tblGrid>
                        <w:tr w:rsidR="00BF4577">
                          <w:tc>
                            <w:tcPr>
                              <w:tcW w:w="2500" w:type="pct"/>
                              <w:tcMar>
                                <w:top w:w="0" w:type="dxa"/>
                                <w:left w:w="450" w:type="dxa"/>
                                <w:bottom w:w="0" w:type="dxa"/>
                                <w:right w:w="0" w:type="dxa"/>
                              </w:tcMar>
                              <w:hideMark/>
                            </w:tcPr>
                            <w:p w:rsidR="00BF4577" w:rsidRDefault="00BF4577">
                              <w:pPr>
                                <w:rPr>
                                  <w:rFonts w:ascii="Arial" w:eastAsia="Times New Roman" w:hAnsi="Arial" w:cs="Arial"/>
                                  <w:vanish/>
                                  <w:color w:val="222222"/>
                                  <w:sz w:val="2"/>
                                  <w:szCs w:val="2"/>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85570" cy="733425"/>
                                    <wp:effectExtent l="0" t="0" r="5080" b="9525"/>
                                    <wp:wrapSquare wrapText="bothSides"/>
                                    <wp:docPr id="1" name="Picture 1" descr="Cig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gna Logo"/>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85570" cy="733425"/>
                                            </a:xfrm>
                                            <a:prstGeom prst="rect">
                                              <a:avLst/>
                                            </a:prstGeom>
                                            <a:noFill/>
                                          </pic:spPr>
                                        </pic:pic>
                                      </a:graphicData>
                                    </a:graphic>
                                    <wp14:sizeRelH relativeFrom="page">
                                      <wp14:pctWidth>0</wp14:pctWidth>
                                    </wp14:sizeRelH>
                                    <wp14:sizeRelV relativeFrom="page">
                                      <wp14:pctHeight>0</wp14:pctHeight>
                                    </wp14:sizeRelV>
                                  </wp:anchor>
                                </w:drawing>
                              </w:r>
                            </w:p>
                          </w:tc>
                          <w:tc>
                            <w:tcPr>
                              <w:tcW w:w="2500" w:type="pct"/>
                              <w:tcMar>
                                <w:top w:w="0" w:type="dxa"/>
                                <w:left w:w="0" w:type="dxa"/>
                                <w:bottom w:w="0" w:type="dxa"/>
                                <w:right w:w="450" w:type="dxa"/>
                              </w:tcMar>
                              <w:hideMark/>
                            </w:tcPr>
                            <w:p w:rsidR="00BF4577" w:rsidRDefault="00BF4577">
                              <w:pPr>
                                <w:rPr>
                                  <w:rFonts w:ascii="Arial" w:eastAsia="Times New Roman" w:hAnsi="Arial" w:cs="Arial"/>
                                  <w:color w:val="222222"/>
                                </w:rPr>
                              </w:pPr>
                              <w:r>
                                <w:rPr>
                                  <w:rFonts w:ascii="Arial" w:eastAsia="Times New Roman" w:hAnsi="Arial" w:cs="Arial"/>
                                  <w:color w:val="222222"/>
                                </w:rPr>
                                <w:t> </w:t>
                              </w:r>
                            </w:p>
                          </w:tc>
                          <w:tc>
                            <w:tcPr>
                              <w:tcW w:w="6" w:type="dxa"/>
                              <w:hideMark/>
                            </w:tcPr>
                            <w:p w:rsidR="00BF4577" w:rsidRDefault="00BF4577">
                              <w:pPr>
                                <w:rPr>
                                  <w:rFonts w:ascii="Arial" w:eastAsia="Times New Roman" w:hAnsi="Arial" w:cs="Arial"/>
                                  <w:color w:val="222222"/>
                                </w:rPr>
                              </w:pPr>
                            </w:p>
                          </w:tc>
                        </w:tr>
                      </w:tbl>
                      <w:p w:rsidR="00BF4577" w:rsidRDefault="00BF4577">
                        <w:pPr>
                          <w:rPr>
                            <w:rFonts w:eastAsia="Times New Roman"/>
                            <w:sz w:val="20"/>
                            <w:szCs w:val="20"/>
                          </w:rPr>
                        </w:pPr>
                      </w:p>
                    </w:tc>
                  </w:tr>
                </w:tbl>
                <w:p w:rsidR="00BF4577" w:rsidRDefault="00BF4577">
                  <w:pPr>
                    <w:rPr>
                      <w:rFonts w:eastAsia="Times New Roman"/>
                      <w:sz w:val="20"/>
                      <w:szCs w:val="20"/>
                    </w:rPr>
                  </w:pPr>
                </w:p>
              </w:tc>
            </w:tr>
            <w:tr w:rsidR="00BF4577">
              <w:trPr>
                <w:jc w:val="center"/>
              </w:trPr>
              <w:tc>
                <w:tcPr>
                  <w:tcW w:w="0" w:type="auto"/>
                  <w:hideMark/>
                </w:tcPr>
                <w:tbl>
                  <w:tblPr>
                    <w:tblW w:w="5000" w:type="pct"/>
                    <w:shd w:val="clear" w:color="auto" w:fill="188CCC"/>
                    <w:tblCellMar>
                      <w:left w:w="0" w:type="dxa"/>
                      <w:right w:w="0" w:type="dxa"/>
                    </w:tblCellMar>
                    <w:tblLook w:val="04A0" w:firstRow="1" w:lastRow="0" w:firstColumn="1" w:lastColumn="0" w:noHBand="0" w:noVBand="1"/>
                  </w:tblPr>
                  <w:tblGrid>
                    <w:gridCol w:w="8700"/>
                    <w:gridCol w:w="6"/>
                  </w:tblGrid>
                  <w:tr w:rsidR="00BF4577">
                    <w:tc>
                      <w:tcPr>
                        <w:tcW w:w="0" w:type="auto"/>
                        <w:shd w:val="clear" w:color="auto" w:fill="188CCC"/>
                        <w:hideMark/>
                      </w:tcPr>
                      <w:tbl>
                        <w:tblPr>
                          <w:tblW w:w="8700" w:type="dxa"/>
                          <w:tblCellMar>
                            <w:left w:w="0" w:type="dxa"/>
                            <w:right w:w="0" w:type="dxa"/>
                          </w:tblCellMar>
                          <w:tblLook w:val="04A0" w:firstRow="1" w:lastRow="0" w:firstColumn="1" w:lastColumn="0" w:noHBand="0" w:noVBand="1"/>
                        </w:tblPr>
                        <w:tblGrid>
                          <w:gridCol w:w="8700"/>
                        </w:tblGrid>
                        <w:tr w:rsidR="00BF4577">
                          <w:tc>
                            <w:tcPr>
                              <w:tcW w:w="3750" w:type="pct"/>
                              <w:tcMar>
                                <w:top w:w="225" w:type="dxa"/>
                                <w:left w:w="450" w:type="dxa"/>
                                <w:bottom w:w="225" w:type="dxa"/>
                                <w:right w:w="450" w:type="dxa"/>
                              </w:tcMar>
                              <w:hideMark/>
                            </w:tcPr>
                            <w:p w:rsidR="00BF4577" w:rsidRDefault="00BF4577">
                              <w:pPr>
                                <w:spacing w:line="540" w:lineRule="atLeast"/>
                                <w:rPr>
                                  <w:rFonts w:ascii="Arial" w:eastAsia="Times New Roman" w:hAnsi="Arial" w:cs="Arial"/>
                                  <w:color w:val="FFFFFF"/>
                                  <w:sz w:val="44"/>
                                  <w:szCs w:val="44"/>
                                </w:rPr>
                              </w:pPr>
                              <w:r>
                                <w:rPr>
                                  <w:rStyle w:val="Strong"/>
                                  <w:rFonts w:ascii="Arial" w:eastAsia="Times New Roman" w:hAnsi="Arial" w:cs="Arial"/>
                                  <w:caps/>
                                  <w:color w:val="FFFFFF"/>
                                  <w:sz w:val="44"/>
                                  <w:szCs w:val="44"/>
                                </w:rPr>
                                <w:t>CIGNA TO ADOPT AMERICAN SOCIETY OF ADDICTION MEDICINE (ASAM) CRITERIA</w:t>
                              </w:r>
                            </w:p>
                          </w:tc>
                        </w:tr>
                      </w:tbl>
                      <w:p w:rsidR="00BF4577" w:rsidRDefault="00BF4577">
                        <w:pPr>
                          <w:rPr>
                            <w:rFonts w:eastAsia="Times New Roman"/>
                            <w:sz w:val="20"/>
                            <w:szCs w:val="20"/>
                          </w:rPr>
                        </w:pPr>
                      </w:p>
                    </w:tc>
                    <w:tc>
                      <w:tcPr>
                        <w:tcW w:w="6" w:type="dxa"/>
                        <w:shd w:val="clear" w:color="auto" w:fill="188CCC"/>
                        <w:hideMark/>
                      </w:tcPr>
                      <w:p w:rsidR="00BF4577" w:rsidRDefault="00BF4577">
                        <w:pPr>
                          <w:rPr>
                            <w:rFonts w:eastAsia="Times New Roman"/>
                            <w:sz w:val="20"/>
                            <w:szCs w:val="20"/>
                          </w:rPr>
                        </w:pPr>
                      </w:p>
                    </w:tc>
                  </w:tr>
                </w:tbl>
                <w:p w:rsidR="00BF4577" w:rsidRDefault="00BF4577">
                  <w:pPr>
                    <w:rPr>
                      <w:rFonts w:eastAsia="Times New Roman"/>
                      <w:sz w:val="20"/>
                      <w:szCs w:val="20"/>
                    </w:rPr>
                  </w:pPr>
                </w:p>
              </w:tc>
            </w:tr>
            <w:tr w:rsidR="00BF4577">
              <w:trPr>
                <w:jc w:val="center"/>
              </w:trPr>
              <w:tc>
                <w:tcPr>
                  <w:tcW w:w="0" w:type="auto"/>
                  <w:hideMark/>
                </w:tcPr>
                <w:tbl>
                  <w:tblPr>
                    <w:tblW w:w="5000" w:type="pct"/>
                    <w:shd w:val="clear" w:color="auto" w:fill="004986"/>
                    <w:tblCellMar>
                      <w:left w:w="0" w:type="dxa"/>
                      <w:right w:w="0" w:type="dxa"/>
                    </w:tblCellMar>
                    <w:tblLook w:val="04A0" w:firstRow="1" w:lastRow="0" w:firstColumn="1" w:lastColumn="0" w:noHBand="0" w:noVBand="1"/>
                  </w:tblPr>
                  <w:tblGrid>
                    <w:gridCol w:w="8706"/>
                  </w:tblGrid>
                  <w:tr w:rsidR="00BF4577">
                    <w:tc>
                      <w:tcPr>
                        <w:tcW w:w="0" w:type="auto"/>
                        <w:shd w:val="clear" w:color="auto" w:fill="004986"/>
                        <w:hideMark/>
                      </w:tcPr>
                      <w:tbl>
                        <w:tblPr>
                          <w:tblW w:w="8700" w:type="dxa"/>
                          <w:tblCellMar>
                            <w:left w:w="0" w:type="dxa"/>
                            <w:right w:w="0" w:type="dxa"/>
                          </w:tblCellMar>
                          <w:tblLook w:val="04A0" w:firstRow="1" w:lastRow="0" w:firstColumn="1" w:lastColumn="0" w:noHBand="0" w:noVBand="1"/>
                        </w:tblPr>
                        <w:tblGrid>
                          <w:gridCol w:w="8694"/>
                          <w:gridCol w:w="6"/>
                        </w:tblGrid>
                        <w:tr w:rsidR="00BF4577">
                          <w:tc>
                            <w:tcPr>
                              <w:tcW w:w="0" w:type="auto"/>
                              <w:tcMar>
                                <w:top w:w="255" w:type="dxa"/>
                                <w:left w:w="450" w:type="dxa"/>
                                <w:bottom w:w="255" w:type="dxa"/>
                                <w:right w:w="450" w:type="dxa"/>
                              </w:tcMar>
                              <w:hideMark/>
                            </w:tcPr>
                            <w:p w:rsidR="00BF4577" w:rsidRDefault="00BF4577">
                              <w:pPr>
                                <w:spacing w:line="300" w:lineRule="atLeast"/>
                                <w:rPr>
                                  <w:rFonts w:ascii="Arial" w:eastAsia="Times New Roman" w:hAnsi="Arial" w:cs="Arial"/>
                                  <w:color w:val="FFFFFF"/>
                                  <w:sz w:val="27"/>
                                  <w:szCs w:val="27"/>
                                </w:rPr>
                              </w:pPr>
                              <w:r>
                                <w:rPr>
                                  <w:rStyle w:val="Strong"/>
                                  <w:rFonts w:ascii="Arial" w:eastAsia="Times New Roman" w:hAnsi="Arial" w:cs="Arial"/>
                                  <w:color w:val="FFFFFF"/>
                                  <w:sz w:val="27"/>
                                  <w:szCs w:val="27"/>
                                </w:rPr>
                                <w:t>Effective April 25, 2020</w:t>
                              </w:r>
                            </w:p>
                          </w:tc>
                          <w:tc>
                            <w:tcPr>
                              <w:tcW w:w="6" w:type="dxa"/>
                              <w:hideMark/>
                            </w:tcPr>
                            <w:p w:rsidR="00BF4577" w:rsidRDefault="00BF4577">
                              <w:pPr>
                                <w:rPr>
                                  <w:rFonts w:ascii="Arial" w:eastAsia="Times New Roman" w:hAnsi="Arial" w:cs="Arial"/>
                                  <w:color w:val="FFFFFF"/>
                                  <w:sz w:val="27"/>
                                  <w:szCs w:val="27"/>
                                </w:rPr>
                              </w:pPr>
                            </w:p>
                          </w:tc>
                        </w:tr>
                      </w:tbl>
                      <w:p w:rsidR="00BF4577" w:rsidRDefault="00BF4577">
                        <w:pPr>
                          <w:rPr>
                            <w:rFonts w:eastAsia="Times New Roman"/>
                            <w:sz w:val="20"/>
                            <w:szCs w:val="20"/>
                          </w:rPr>
                        </w:pPr>
                      </w:p>
                    </w:tc>
                  </w:tr>
                </w:tbl>
                <w:p w:rsidR="00BF4577" w:rsidRDefault="00BF4577">
                  <w:pPr>
                    <w:rPr>
                      <w:rFonts w:eastAsia="Times New Roman"/>
                      <w:sz w:val="20"/>
                      <w:szCs w:val="20"/>
                    </w:rPr>
                  </w:pPr>
                </w:p>
              </w:tc>
            </w:tr>
            <w:tr w:rsidR="00BF4577">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8706"/>
                  </w:tblGrid>
                  <w:tr w:rsidR="00BF4577">
                    <w:tc>
                      <w:tcPr>
                        <w:tcW w:w="0" w:type="auto"/>
                        <w:shd w:val="clear" w:color="auto" w:fill="FFFFFF"/>
                        <w:hideMark/>
                      </w:tcPr>
                      <w:tbl>
                        <w:tblPr>
                          <w:tblW w:w="8700" w:type="dxa"/>
                          <w:tblCellMar>
                            <w:left w:w="0" w:type="dxa"/>
                            <w:right w:w="0" w:type="dxa"/>
                          </w:tblCellMar>
                          <w:tblLook w:val="04A0" w:firstRow="1" w:lastRow="0" w:firstColumn="1" w:lastColumn="0" w:noHBand="0" w:noVBand="1"/>
                        </w:tblPr>
                        <w:tblGrid>
                          <w:gridCol w:w="8700"/>
                        </w:tblGrid>
                        <w:tr w:rsidR="00BF4577">
                          <w:tc>
                            <w:tcPr>
                              <w:tcW w:w="0" w:type="auto"/>
                              <w:tcMar>
                                <w:top w:w="0" w:type="dxa"/>
                                <w:left w:w="450" w:type="dxa"/>
                                <w:bottom w:w="0" w:type="dxa"/>
                                <w:right w:w="450" w:type="dxa"/>
                              </w:tcMar>
                              <w:hideMark/>
                            </w:tcPr>
                            <w:tbl>
                              <w:tblPr>
                                <w:tblW w:w="5000" w:type="pct"/>
                                <w:tblCellMar>
                                  <w:left w:w="0" w:type="dxa"/>
                                  <w:right w:w="0" w:type="dxa"/>
                                </w:tblCellMar>
                                <w:tblLook w:val="04A0" w:firstRow="1" w:lastRow="0" w:firstColumn="1" w:lastColumn="0" w:noHBand="0" w:noVBand="1"/>
                              </w:tblPr>
                              <w:tblGrid>
                                <w:gridCol w:w="7794"/>
                                <w:gridCol w:w="6"/>
                              </w:tblGrid>
                              <w:tr w:rsidR="00BF4577">
                                <w:tc>
                                  <w:tcPr>
                                    <w:tcW w:w="0" w:type="auto"/>
                                    <w:hideMark/>
                                  </w:tcPr>
                                  <w:p w:rsidR="00BF4577" w:rsidRDefault="00BF4577">
                                    <w:pPr>
                                      <w:pStyle w:val="NormalWeb"/>
                                    </w:pPr>
                                    <w:r>
                                      <w:t>Cigna will be adopting the American Society of Addiction Medicine criteria (The ASAM Criteria®) for conducting medical necessity reviews of substance use disorder levels of care for all commercial health plan business effective April 25, 2020. The ASAM Criteria have generally been accepted as the standard of care for the treatment of substance use disorders and are widely utilized by substance use treatment providers. Cigna Behavioral Health’s Medical Necessity Criteria will be updated to include reference to The ASAM Criteria as applicable for substance use services. We will continue to use existing medical necessity criteria for all other services.</w:t>
                                    </w:r>
                                  </w:p>
                                  <w:p w:rsidR="00BF4577" w:rsidRDefault="00BF4577">
                                    <w:pPr>
                                      <w:pStyle w:val="NormalWeb"/>
                                      <w:spacing w:before="150" w:after="0" w:line="270" w:lineRule="atLeast"/>
                                      <w:rPr>
                                        <w:color w:val="188CCC"/>
                                        <w:sz w:val="21"/>
                                        <w:szCs w:val="21"/>
                                      </w:rPr>
                                    </w:pPr>
                                    <w:r>
                                      <w:rPr>
                                        <w:rStyle w:val="Strong"/>
                                        <w:color w:val="188CCC"/>
                                        <w:sz w:val="21"/>
                                        <w:szCs w:val="21"/>
                                      </w:rPr>
                                      <w:t>How you can use The ASAM Criteria</w:t>
                                    </w:r>
                                  </w:p>
                                  <w:p w:rsidR="00BF4577" w:rsidRDefault="00BF4577">
                                    <w:pPr>
                                      <w:pStyle w:val="NormalWeb"/>
                                    </w:pPr>
                                    <w:r>
                                      <w:t xml:space="preserve">The ASAM Criteria is a collection of objective, outcome-oriented, results-based standards, which providers should use to help identify the least intensive treatment services for a Cigna customer while ensuring quality outcomes. The criteria should be used when evaluating the need for beginning, ending, or continuing services, at the same or different level of care. The criteria </w:t>
                                    </w:r>
                                    <w:proofErr w:type="gramStart"/>
                                    <w:r>
                                      <w:t>assesses</w:t>
                                    </w:r>
                                    <w:proofErr w:type="gramEnd"/>
                                    <w:r>
                                      <w:t>:</w:t>
                                    </w:r>
                                  </w:p>
                                  <w:p w:rsidR="00BF4577" w:rsidRDefault="00BF4577" w:rsidP="004D0EE7">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An individual’s wants, needs and risks;</w:t>
                                    </w:r>
                                  </w:p>
                                  <w:p w:rsidR="00BF4577" w:rsidRDefault="00BF4577" w:rsidP="004D0EE7">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Identifies severity and treatment priorities; and</w:t>
                                    </w:r>
                                  </w:p>
                                  <w:p w:rsidR="00BF4577" w:rsidRDefault="00BF4577" w:rsidP="004D0EE7">
                                    <w:pPr>
                                      <w:numPr>
                                        <w:ilvl w:val="0"/>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Provides and evaluates the appropriate intensity of services.</w:t>
                                    </w:r>
                                  </w:p>
                                  <w:p w:rsidR="00BF4577" w:rsidRDefault="00BF4577">
                                    <w:pPr>
                                      <w:pStyle w:val="NormalWeb"/>
                                    </w:pPr>
                                    <w:r>
                                      <w:t>Treatment plans are developed through a multidimensional patient assessment.</w:t>
                                    </w:r>
                                  </w:p>
                                  <w:p w:rsidR="00BF4577" w:rsidRDefault="00BF4577">
                                    <w:pPr>
                                      <w:pStyle w:val="NormalWeb"/>
                                      <w:spacing w:before="150" w:after="0" w:line="270" w:lineRule="atLeast"/>
                                      <w:rPr>
                                        <w:color w:val="188CCC"/>
                                        <w:sz w:val="21"/>
                                        <w:szCs w:val="21"/>
                                      </w:rPr>
                                    </w:pPr>
                                    <w:r>
                                      <w:rPr>
                                        <w:rStyle w:val="Strong"/>
                                        <w:color w:val="188CCC"/>
                                        <w:sz w:val="21"/>
                                        <w:szCs w:val="21"/>
                                      </w:rPr>
                                      <w:t>Additional resources</w:t>
                                    </w:r>
                                  </w:p>
                                  <w:p w:rsidR="00BF4577" w:rsidRDefault="00BF4577">
                                    <w:pPr>
                                      <w:pStyle w:val="NormalWeb"/>
                                    </w:pPr>
                                    <w:r>
                                      <w:t>For more information on The ASAM Criteria, please visit the American Society of Addiction Medicine website (</w:t>
                                    </w:r>
                                    <w:hyperlink r:id="rId6" w:history="1">
                                      <w:r>
                                        <w:rPr>
                                          <w:rStyle w:val="Hyperlink"/>
                                        </w:rPr>
                                        <w:t>ASAM.org</w:t>
                                      </w:r>
                                    </w:hyperlink>
                                    <w:r>
                                      <w:t xml:space="preserve"> &gt; Quality &amp; Science &gt; </w:t>
                                    </w:r>
                                    <w:hyperlink r:id="rId7" w:history="1">
                                      <w:r>
                                        <w:rPr>
                                          <w:rStyle w:val="Hyperlink"/>
                                        </w:rPr>
                                        <w:t>The ASAM Criteria</w:t>
                                      </w:r>
                                    </w:hyperlink>
                                    <w:r>
                                      <w:t>).</w:t>
                                    </w:r>
                                  </w:p>
                                </w:tc>
                                <w:tc>
                                  <w:tcPr>
                                    <w:tcW w:w="6" w:type="dxa"/>
                                    <w:hideMark/>
                                  </w:tcPr>
                                  <w:p w:rsidR="00BF4577" w:rsidRDefault="00BF4577"/>
                                </w:tc>
                              </w:tr>
                            </w:tbl>
                            <w:p w:rsidR="00BF4577" w:rsidRDefault="00BF4577">
                              <w:pPr>
                                <w:rPr>
                                  <w:rFonts w:eastAsia="Times New Roman"/>
                                  <w:sz w:val="20"/>
                                  <w:szCs w:val="20"/>
                                </w:rPr>
                              </w:pPr>
                            </w:p>
                          </w:tc>
                        </w:tr>
                        <w:tr w:rsidR="00BF4577">
                          <w:tc>
                            <w:tcPr>
                              <w:tcW w:w="6" w:type="dxa"/>
                              <w:hideMark/>
                            </w:tcPr>
                            <w:p w:rsidR="00BF4577" w:rsidRDefault="00BF4577">
                              <w:pPr>
                                <w:rPr>
                                  <w:rFonts w:eastAsia="Times New Roman"/>
                                  <w:sz w:val="20"/>
                                  <w:szCs w:val="20"/>
                                </w:rPr>
                              </w:pPr>
                            </w:p>
                          </w:tc>
                        </w:tr>
                      </w:tbl>
                      <w:p w:rsidR="00BF4577" w:rsidRDefault="00BF4577">
                        <w:pPr>
                          <w:rPr>
                            <w:rFonts w:eastAsia="Times New Roman"/>
                            <w:sz w:val="20"/>
                            <w:szCs w:val="20"/>
                          </w:rPr>
                        </w:pPr>
                      </w:p>
                    </w:tc>
                  </w:tr>
                </w:tbl>
                <w:p w:rsidR="00BF4577" w:rsidRDefault="00BF4577">
                  <w:pPr>
                    <w:rPr>
                      <w:rFonts w:eastAsia="Times New Roman"/>
                      <w:sz w:val="20"/>
                      <w:szCs w:val="20"/>
                    </w:rPr>
                  </w:pPr>
                </w:p>
              </w:tc>
            </w:tr>
            <w:tr w:rsidR="00BF45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06"/>
                  </w:tblGrid>
                  <w:tr w:rsidR="00BF4577">
                    <w:tc>
                      <w:tcPr>
                        <w:tcW w:w="0" w:type="auto"/>
                        <w:hideMark/>
                      </w:tcPr>
                      <w:tbl>
                        <w:tblPr>
                          <w:tblW w:w="8700" w:type="dxa"/>
                          <w:tblCellMar>
                            <w:left w:w="0" w:type="dxa"/>
                            <w:right w:w="0" w:type="dxa"/>
                          </w:tblCellMar>
                          <w:tblLook w:val="04A0" w:firstRow="1" w:lastRow="0" w:firstColumn="1" w:lastColumn="0" w:noHBand="0" w:noVBand="1"/>
                        </w:tblPr>
                        <w:tblGrid>
                          <w:gridCol w:w="8700"/>
                        </w:tblGrid>
                        <w:tr w:rsidR="00BF4577">
                          <w:tc>
                            <w:tcPr>
                              <w:tcW w:w="0" w:type="auto"/>
                              <w:hideMark/>
                            </w:tcPr>
                            <w:p w:rsidR="00BF4577" w:rsidRDefault="00BF4577">
                              <w:pPr>
                                <w:rPr>
                                  <w:rFonts w:eastAsia="Times New Roman"/>
                                  <w:sz w:val="20"/>
                                  <w:szCs w:val="20"/>
                                </w:rPr>
                              </w:pPr>
                            </w:p>
                          </w:tc>
                        </w:tr>
                      </w:tbl>
                      <w:p w:rsidR="00BF4577" w:rsidRDefault="00BF4577">
                        <w:pPr>
                          <w:rPr>
                            <w:rFonts w:eastAsia="Times New Roman"/>
                            <w:sz w:val="20"/>
                            <w:szCs w:val="20"/>
                          </w:rPr>
                        </w:pPr>
                      </w:p>
                    </w:tc>
                  </w:tr>
                </w:tbl>
                <w:p w:rsidR="00BF4577" w:rsidRDefault="00BF4577">
                  <w:pPr>
                    <w:rPr>
                      <w:rFonts w:eastAsia="Times New Roman"/>
                      <w:sz w:val="20"/>
                      <w:szCs w:val="20"/>
                    </w:rPr>
                  </w:pPr>
                </w:p>
              </w:tc>
            </w:tr>
            <w:tr w:rsidR="00BF45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06"/>
                  </w:tblGrid>
                  <w:tr w:rsidR="00BF4577">
                    <w:tc>
                      <w:tcPr>
                        <w:tcW w:w="0" w:type="auto"/>
                        <w:hideMark/>
                      </w:tcPr>
                      <w:tbl>
                        <w:tblPr>
                          <w:tblW w:w="8700" w:type="dxa"/>
                          <w:tblCellMar>
                            <w:left w:w="0" w:type="dxa"/>
                            <w:right w:w="0" w:type="dxa"/>
                          </w:tblCellMar>
                          <w:tblLook w:val="04A0" w:firstRow="1" w:lastRow="0" w:firstColumn="1" w:lastColumn="0" w:noHBand="0" w:noVBand="1"/>
                        </w:tblPr>
                        <w:tblGrid>
                          <w:gridCol w:w="8700"/>
                        </w:tblGrid>
                        <w:tr w:rsidR="00BF4577">
                          <w:tc>
                            <w:tcPr>
                              <w:tcW w:w="0" w:type="auto"/>
                              <w:tcMar>
                                <w:top w:w="0" w:type="dxa"/>
                                <w:left w:w="450" w:type="dxa"/>
                                <w:bottom w:w="300" w:type="dxa"/>
                                <w:right w:w="450" w:type="dxa"/>
                              </w:tcMar>
                              <w:hideMark/>
                            </w:tcPr>
                            <w:tbl>
                              <w:tblPr>
                                <w:tblW w:w="5000" w:type="pct"/>
                                <w:tblCellMar>
                                  <w:left w:w="0" w:type="dxa"/>
                                  <w:right w:w="0" w:type="dxa"/>
                                </w:tblCellMar>
                                <w:tblLook w:val="04A0" w:firstRow="1" w:lastRow="0" w:firstColumn="1" w:lastColumn="0" w:noHBand="0" w:noVBand="1"/>
                              </w:tblPr>
                              <w:tblGrid>
                                <w:gridCol w:w="7800"/>
                              </w:tblGrid>
                              <w:tr w:rsidR="00BF4577">
                                <w:tc>
                                  <w:tcPr>
                                    <w:tcW w:w="0" w:type="auto"/>
                                    <w:hideMark/>
                                  </w:tcPr>
                                  <w:p w:rsidR="00BF4577" w:rsidRDefault="00BF4577">
                                    <w:pPr>
                                      <w:rPr>
                                        <w:rFonts w:eastAsia="Times New Roman"/>
                                        <w:sz w:val="20"/>
                                        <w:szCs w:val="20"/>
                                      </w:rPr>
                                    </w:pPr>
                                  </w:p>
                                </w:tc>
                              </w:tr>
                            </w:tbl>
                            <w:p w:rsidR="00BF4577" w:rsidRDefault="00BF4577">
                              <w:pPr>
                                <w:spacing w:line="225" w:lineRule="atLeast"/>
                                <w:rPr>
                                  <w:rFonts w:ascii="Arial" w:eastAsia="Times New Roman" w:hAnsi="Arial" w:cs="Arial"/>
                                  <w:color w:val="6D6E71"/>
                                  <w:sz w:val="17"/>
                                  <w:szCs w:val="17"/>
                                </w:rPr>
                              </w:pPr>
                              <w:r>
                                <w:rPr>
                                  <w:rFonts w:ascii="Arial" w:eastAsia="Times New Roman" w:hAnsi="Arial" w:cs="Arial"/>
                                  <w:color w:val="6D6E71"/>
                                  <w:sz w:val="17"/>
                                  <w:szCs w:val="17"/>
                                </w:rPr>
                                <w:t>Any reference to the products, services, information or websites of third parties is provided for informational purposes only and should not be construed as an endorsement by Cigna of the products, services, information, or websites of such third parties. Cigna neither reviews nor controls the content and accuracy of these references or websites, and therefore will not be responsible for their content or accuracy.</w:t>
                              </w:r>
                              <w:r>
                                <w:rPr>
                                  <w:rFonts w:ascii="Arial" w:eastAsia="Times New Roman" w:hAnsi="Arial" w:cs="Arial"/>
                                  <w:color w:val="6D6E71"/>
                                  <w:sz w:val="17"/>
                                  <w:szCs w:val="17"/>
                                </w:rPr>
                                <w:br/>
                              </w:r>
                              <w:r>
                                <w:rPr>
                                  <w:rFonts w:ascii="Arial" w:eastAsia="Times New Roman" w:hAnsi="Arial" w:cs="Arial"/>
                                  <w:color w:val="6D6E71"/>
                                  <w:sz w:val="17"/>
                                  <w:szCs w:val="17"/>
                                </w:rPr>
                                <w:br/>
                                <w:t>All Cigna products and services are provided exclusively by or through operating subsidiaries of Cigna Corporation, including Cigna Health and Life Insurance Company, Connecticut General Life Insurance Company, Cigna Behavioral Health, Inc., and HMO or service company subsidiaries of Cigna Health Corporation. The Cigna name, logo, and other Cigna marks are owned by Cigna Intellectual Property, Inc.</w:t>
                              </w:r>
                              <w:r>
                                <w:rPr>
                                  <w:rFonts w:ascii="Arial" w:eastAsia="Times New Roman" w:hAnsi="Arial" w:cs="Arial"/>
                                  <w:color w:val="6D6E71"/>
                                  <w:sz w:val="17"/>
                                  <w:szCs w:val="17"/>
                                </w:rPr>
                                <w:br/>
                              </w:r>
                              <w:r>
                                <w:rPr>
                                  <w:rFonts w:ascii="Arial" w:eastAsia="Times New Roman" w:hAnsi="Arial" w:cs="Arial"/>
                                  <w:color w:val="6D6E71"/>
                                  <w:sz w:val="17"/>
                                  <w:szCs w:val="17"/>
                                </w:rPr>
                                <w:br/>
                                <w:t xml:space="preserve">This is a promotional email from Cigna | 900 Cottage Grove Road | Bloomfield, CT 06002. If you no longer wish to receive promotional emails from Cigna, or if you received this message and prefer not to receive this type of communication from Cigna in the future, you can </w:t>
                              </w:r>
                              <w:hyperlink r:id="rId8" w:history="1">
                                <w:r>
                                  <w:rPr>
                                    <w:rStyle w:val="Hyperlink"/>
                                    <w:rFonts w:ascii="Arial" w:eastAsia="Times New Roman" w:hAnsi="Arial" w:cs="Arial"/>
                                    <w:sz w:val="17"/>
                                    <w:szCs w:val="17"/>
                                  </w:rPr>
                                  <w:t>unsubscribe</w:t>
                                </w:r>
                              </w:hyperlink>
                              <w:r>
                                <w:rPr>
                                  <w:rFonts w:ascii="Arial" w:eastAsia="Times New Roman" w:hAnsi="Arial" w:cs="Arial"/>
                                  <w:color w:val="6D6E71"/>
                                  <w:sz w:val="17"/>
                                  <w:szCs w:val="17"/>
                                </w:rPr>
                                <w:t>.</w:t>
                              </w:r>
                              <w:r>
                                <w:rPr>
                                  <w:rFonts w:ascii="Arial" w:eastAsia="Times New Roman" w:hAnsi="Arial" w:cs="Arial"/>
                                  <w:color w:val="6D6E71"/>
                                  <w:sz w:val="17"/>
                                  <w:szCs w:val="17"/>
                                </w:rPr>
                                <w:br/>
                              </w:r>
                              <w:r>
                                <w:rPr>
                                  <w:rFonts w:ascii="Arial" w:eastAsia="Times New Roman" w:hAnsi="Arial" w:cs="Arial"/>
                                  <w:color w:val="6D6E71"/>
                                  <w:sz w:val="17"/>
                                  <w:szCs w:val="17"/>
                                </w:rPr>
                                <w:br/>
                                <w:t>PCOMM-2020-231 © 2020 Cigna. Some content provided under license.</w:t>
                              </w:r>
                            </w:p>
                          </w:tc>
                        </w:tr>
                      </w:tbl>
                      <w:p w:rsidR="00BF4577" w:rsidRDefault="00BF4577">
                        <w:pPr>
                          <w:rPr>
                            <w:rFonts w:eastAsia="Times New Roman"/>
                            <w:sz w:val="20"/>
                            <w:szCs w:val="20"/>
                          </w:rPr>
                        </w:pPr>
                      </w:p>
                    </w:tc>
                  </w:tr>
                </w:tbl>
                <w:p w:rsidR="00BF4577" w:rsidRDefault="00BF4577">
                  <w:pPr>
                    <w:rPr>
                      <w:rFonts w:eastAsia="Times New Roman"/>
                      <w:sz w:val="20"/>
                      <w:szCs w:val="20"/>
                    </w:rPr>
                  </w:pPr>
                </w:p>
              </w:tc>
            </w:tr>
          </w:tbl>
          <w:p w:rsidR="00BF4577" w:rsidRDefault="00BF4577">
            <w:pPr>
              <w:jc w:val="center"/>
              <w:rPr>
                <w:rFonts w:eastAsia="Times New Roman"/>
                <w:sz w:val="20"/>
                <w:szCs w:val="20"/>
              </w:rPr>
            </w:pPr>
          </w:p>
        </w:tc>
      </w:tr>
    </w:tbl>
    <w:p w:rsidR="00BF4577" w:rsidRDefault="00BF4577" w:rsidP="00BF4577">
      <w:pPr>
        <w:rPr>
          <w:rFonts w:ascii="Arial" w:eastAsia="Times New Roman" w:hAnsi="Arial" w:cs="Arial"/>
          <w:color w:val="222222"/>
        </w:rPr>
      </w:pPr>
      <w:hyperlink r:id="rId9" w:history="1">
        <w:r>
          <w:rPr>
            <w:rStyle w:val="Hyperlink"/>
            <w:rFonts w:ascii="Arial" w:eastAsia="Times New Roman" w:hAnsi="Arial" w:cs="Arial"/>
          </w:rPr>
          <w:t>unsubscribe</w:t>
        </w:r>
      </w:hyperlink>
    </w:p>
    <w:p w:rsidR="0056698E" w:rsidRDefault="0056698E">
      <w:bookmarkStart w:id="0" w:name="_GoBack"/>
      <w:bookmarkEnd w:id="0"/>
    </w:p>
    <w:sectPr w:rsidR="00566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23EAC"/>
    <w:multiLevelType w:val="multilevel"/>
    <w:tmpl w:val="01E29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77"/>
    <w:rsid w:val="0056698E"/>
    <w:rsid w:val="00BF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30B7C9B-AD2D-4686-8B26-FFD6DC19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577"/>
    <w:rPr>
      <w:strike w:val="0"/>
      <w:dstrike w:val="0"/>
      <w:color w:val="0083CA"/>
      <w:u w:val="none"/>
      <w:effect w:val="none"/>
      <w:bdr w:val="none" w:sz="0" w:space="0" w:color="auto" w:frame="1"/>
    </w:rPr>
  </w:style>
  <w:style w:type="paragraph" w:styleId="NormalWeb">
    <w:name w:val="Normal (Web)"/>
    <w:basedOn w:val="Normal"/>
    <w:uiPriority w:val="99"/>
    <w:semiHidden/>
    <w:unhideWhenUsed/>
    <w:rsid w:val="00BF4577"/>
    <w:pPr>
      <w:spacing w:after="150"/>
    </w:pPr>
    <w:rPr>
      <w:rFonts w:ascii="Arial" w:hAnsi="Arial" w:cs="Arial"/>
      <w:color w:val="222222"/>
    </w:rPr>
  </w:style>
  <w:style w:type="character" w:styleId="Strong">
    <w:name w:val="Strong"/>
    <w:basedOn w:val="DefaultParagraphFont"/>
    <w:uiPriority w:val="22"/>
    <w:qFormat/>
    <w:rsid w:val="00BF4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waymail.com_maximail_askunsubscribe.htm-3Frqstid-3D88065-26rcpid-3D146478627-26cdid-3D404F0B15C6958F357282EB95B7FFA133&amp;d=DwMCaQ&amp;c=xn8flH6DOXBk6JKHH02eLJq194X6KF7E4brKNzAQIFY&amp;r=_cnKA8bxU5E8JC0Ey4kgoKiT6j7mot8S4lNsEDAh-No&amp;m=trZuKq1p3g8sYxq8MU7h6ZzsfzS5ehU3AFdxAb3fmQU&amp;s=iyI4ZysEmn7VcTj3WP4WhbhkDPd_TL3RgMvIUiBVN8o&amp;e=" TargetMode="External"/><Relationship Id="rId3" Type="http://schemas.openxmlformats.org/officeDocument/2006/relationships/settings" Target="settings.xml"/><Relationship Id="rId7" Type="http://schemas.openxmlformats.org/officeDocument/2006/relationships/hyperlink" Target="https://urldefense.proofpoint.com/v2/url?u=https-3A__www.waymail.com_maximail_link.htm-3Ftrlnkid-3D147462A92899A178671125&amp;d=DwMCaQ&amp;c=xn8flH6DOXBk6JKHH02eLJq194X6KF7E4brKNzAQIFY&amp;r=_cnKA8bxU5E8JC0Ey4kgoKiT6j7mot8S4lNsEDAh-No&amp;m=trZuKq1p3g8sYxq8MU7h6ZzsfzS5ehU3AFdxAb3fmQU&amp;s=rM5UbjTdL42AbIy7A-kxYq20MM_WZJW_coYdd0-UI9Q&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waymail.com_maximail_link.htm-3Ftrlnkid-3D147463A92899A178671125&amp;d=DwMCaQ&amp;c=xn8flH6DOXBk6JKHH02eLJq194X6KF7E4brKNzAQIFY&amp;r=_cnKA8bxU5E8JC0Ey4kgoKiT6j7mot8S4lNsEDAh-No&amp;m=trZuKq1p3g8sYxq8MU7h6ZzsfzS5ehU3AFdxAb3fmQU&amp;s=Q38p6JOTBVE_mSkKGxHof5b4eHcGcdUROeIzZ9M4k1M&amp;e=" TargetMode="External"/><Relationship Id="rId11" Type="http://schemas.openxmlformats.org/officeDocument/2006/relationships/theme" Target="theme/theme1.xml"/><Relationship Id="rId5" Type="http://schemas.openxmlformats.org/officeDocument/2006/relationships/image" Target="https://www.waymail.com/maximail/img/80566_0.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www.waymail.com_maximail_askunsubscribe.htm-3Frqstid-3D92899-26rcpid-3D178671125-26cdid-3DFE1059D1B1328DE9388B6018382C9EBE&amp;d=DwMCaQ&amp;c=xn8flH6DOXBk6JKHH02eLJq194X6KF7E4brKNzAQIFY&amp;r=_cnKA8bxU5E8JC0Ey4kgoKiT6j7mot8S4lNsEDAh-No&amp;m=trZuKq1p3g8sYxq8MU7h6ZzsfzS5ehU3AFdxAb3fmQU&amp;s=iupeezsI-zIWdbkw3avafWSL4-G_KIX5N8rS6ULVVbc&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Company>Med Center Health</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2020-04-15T19:20:00Z</dcterms:created>
  <dcterms:modified xsi:type="dcterms:W3CDTF">2020-04-15T19:21:00Z</dcterms:modified>
</cp:coreProperties>
</file>