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29E6" w:rsidTr="005529E6">
        <w:trPr>
          <w:jc w:val="center"/>
        </w:trPr>
        <w:tc>
          <w:tcPr>
            <w:tcW w:w="0" w:type="auto"/>
            <w:shd w:val="clear" w:color="auto" w:fill="F5F5F5"/>
            <w:tcMar>
              <w:top w:w="450" w:type="dxa"/>
              <w:left w:w="75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0"/>
              <w:gridCol w:w="1070"/>
            </w:tblGrid>
            <w:tr w:rsidR="005529E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5529E6" w:rsidRDefault="005529E6">
                  <w:pPr>
                    <w:spacing w:line="375" w:lineRule="atLeast"/>
                    <w:rPr>
                      <w:rFonts w:eastAsiaTheme="minorHAnsi"/>
                      <w:sz w:val="22"/>
                      <w:szCs w:val="22"/>
                    </w:rPr>
                  </w:pPr>
                  <w:r>
                    <w:rPr>
                      <w:rFonts w:ascii="Helvetica" w:eastAsiaTheme="minorHAnsi" w:hAnsi="Helvetica" w:cs="Helvetica"/>
                      <w:b/>
                      <w:bCs/>
                      <w:color w:val="000000"/>
                      <w:sz w:val="32"/>
                      <w:szCs w:val="32"/>
                    </w:rPr>
                    <w:t xml:space="preserve">Changes to our National Precertification List (NPL)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5529E6" w:rsidRDefault="005529E6">
                  <w:pPr>
                    <w:spacing w:line="285" w:lineRule="atLeast"/>
                    <w:jc w:val="right"/>
                    <w:rPr>
                      <w:rFonts w:eastAsiaTheme="minorHAnsi"/>
                      <w:sz w:val="22"/>
                      <w:szCs w:val="22"/>
                    </w:rPr>
                  </w:pPr>
                  <w:r>
                    <w:rPr>
                      <w:rFonts w:ascii="Helvetica" w:eastAsiaTheme="minorHAnsi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352425" cy="285750"/>
                        <wp:effectExtent l="0" t="0" r="9525" b="0"/>
                        <wp:docPr id="1" name="Picture 1" descr="https://image.provider.aetna.com/lib/fe2611717064047a7d1c77/m/1/7627c2b1-5eb1-41c2-8827-cb5f3b1f7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age.provider.aetna.com/lib/fe2611717064047a7d1c77/m/1/7627c2b1-5eb1-41c2-8827-cb5f3b1f7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29E6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529E6" w:rsidRDefault="005529E6">
                  <w:pPr>
                    <w:spacing w:line="360" w:lineRule="exact"/>
                    <w:rPr>
                      <w:rFonts w:eastAsiaTheme="minorHAnsi"/>
                      <w:sz w:val="22"/>
                      <w:szCs w:val="22"/>
                    </w:rPr>
                  </w:pP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This update applies to both our commercial and Medicare members. </w:t>
                  </w:r>
                </w:p>
              </w:tc>
            </w:tr>
            <w:tr w:rsidR="005529E6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150" w:type="dxa"/>
                    <w:left w:w="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5529E6" w:rsidRDefault="005529E6">
                  <w:pPr>
                    <w:spacing w:line="360" w:lineRule="exact"/>
                    <w:rPr>
                      <w:rFonts w:eastAsiaTheme="minorHAnsi"/>
                      <w:sz w:val="22"/>
                      <w:szCs w:val="22"/>
                    </w:rPr>
                  </w:pPr>
                  <w:r>
                    <w:rPr>
                      <w:rFonts w:ascii="Helvetica" w:eastAsiaTheme="minorHAnsi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 xml:space="preserve">New-to-market drugs that require precertification </w:t>
                  </w:r>
                </w:p>
              </w:tc>
            </w:tr>
            <w:tr w:rsidR="005529E6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375" w:type="dxa"/>
                    <w:right w:w="300" w:type="dxa"/>
                  </w:tcMar>
                  <w:vAlign w:val="center"/>
                  <w:hideMark/>
                </w:tcPr>
                <w:p w:rsidR="005529E6" w:rsidRDefault="005529E6" w:rsidP="00A61243">
                  <w:pPr>
                    <w:numPr>
                      <w:ilvl w:val="0"/>
                      <w:numId w:val="1"/>
                    </w:numPr>
                    <w:spacing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Zynyz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™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retifanlimab-dlwr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) ― precertification is required effective July 1, 2023. This drug is part of the PD1/PDL1 drugs category.</w:t>
                  </w:r>
                </w:p>
                <w:p w:rsidR="005529E6" w:rsidRDefault="005529E6" w:rsidP="00A61243">
                  <w:pPr>
                    <w:numPr>
                      <w:ilvl w:val="0"/>
                      <w:numId w:val="1"/>
                    </w:numPr>
                    <w:spacing w:before="75"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Syfovre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™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pegcetacoplan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) — precertification is required effective July 1, 2023. This drug is part of the 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opthalmic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injectable category.</w:t>
                  </w:r>
                </w:p>
                <w:p w:rsidR="005529E6" w:rsidRDefault="005529E6" w:rsidP="00A61243">
                  <w:pPr>
                    <w:numPr>
                      <w:ilvl w:val="0"/>
                      <w:numId w:val="1"/>
                    </w:numPr>
                    <w:spacing w:before="75"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Altuviiio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™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efanesoctocog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alfa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) — precertification is required effective July 1, 2023. This drug is part of the blood clotting factors category.</w:t>
                  </w:r>
                </w:p>
                <w:p w:rsidR="005529E6" w:rsidRDefault="005529E6" w:rsidP="00A61243">
                  <w:pPr>
                    <w:numPr>
                      <w:ilvl w:val="0"/>
                      <w:numId w:val="1"/>
                    </w:numPr>
                    <w:spacing w:before="75"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Lamzede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velmanase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alfa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) — precertification is required effective July 1, 2023. This drug is part of the enzyme replacement drugs category.</w:t>
                  </w:r>
                </w:p>
                <w:p w:rsidR="005529E6" w:rsidRDefault="005529E6" w:rsidP="00A61243">
                  <w:pPr>
                    <w:numPr>
                      <w:ilvl w:val="0"/>
                      <w:numId w:val="1"/>
                    </w:numPr>
                    <w:spacing w:before="75"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Qalsody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™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tofersen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) — precertification is required effective July 1, 2023. This drug is part of the amyotrophic lateral sclerosis (ALS) drugs category.</w:t>
                  </w:r>
                </w:p>
                <w:p w:rsidR="005529E6" w:rsidRDefault="005529E6" w:rsidP="00A61243">
                  <w:pPr>
                    <w:numPr>
                      <w:ilvl w:val="0"/>
                      <w:numId w:val="1"/>
                    </w:numPr>
                    <w:spacing w:before="75"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Omisirge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omidubicel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) — precertification is required effective July 13, 2023.</w:t>
                  </w:r>
                </w:p>
              </w:tc>
            </w:tr>
            <w:tr w:rsidR="005529E6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5529E6" w:rsidRDefault="005529E6">
                  <w:pPr>
                    <w:spacing w:line="360" w:lineRule="exact"/>
                    <w:rPr>
                      <w:rFonts w:eastAsiaTheme="minorHAnsi"/>
                      <w:sz w:val="22"/>
                      <w:szCs w:val="22"/>
                    </w:rPr>
                  </w:pPr>
                  <w:r>
                    <w:rPr>
                      <w:rFonts w:ascii="Helvetica" w:eastAsiaTheme="minorHAnsi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 xml:space="preserve">Reminder: drugs that require precertification effective July 1, 2023 </w:t>
                  </w:r>
                </w:p>
              </w:tc>
            </w:tr>
            <w:tr w:rsidR="005529E6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375" w:type="dxa"/>
                    <w:right w:w="300" w:type="dxa"/>
                  </w:tcMar>
                  <w:vAlign w:val="center"/>
                  <w:hideMark/>
                </w:tcPr>
                <w:p w:rsidR="005529E6" w:rsidRDefault="005529E6" w:rsidP="00A61243">
                  <w:pPr>
                    <w:numPr>
                      <w:ilvl w:val="0"/>
                      <w:numId w:val="2"/>
                    </w:numPr>
                    <w:spacing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Prolia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denosumab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) — this drug is part of the osteoporosis drugs category.</w:t>
                  </w:r>
                </w:p>
                <w:p w:rsidR="005529E6" w:rsidRDefault="005529E6" w:rsidP="00A61243">
                  <w:pPr>
                    <w:numPr>
                      <w:ilvl w:val="0"/>
                      <w:numId w:val="2"/>
                    </w:numPr>
                    <w:spacing w:before="75"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Stelara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SC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ustekinumab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) — this drug is part of the immunologic </w:t>
                  </w:r>
                  <w:proofErr w:type="gram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agents</w:t>
                  </w:r>
                  <w:proofErr w:type="gram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category.</w:t>
                  </w:r>
                </w:p>
                <w:p w:rsidR="005529E6" w:rsidRDefault="005529E6" w:rsidP="00A61243">
                  <w:pPr>
                    <w:numPr>
                      <w:ilvl w:val="0"/>
                      <w:numId w:val="2"/>
                    </w:numPr>
                    <w:spacing w:before="75"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Korsuva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difelikefalin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)</w:t>
                  </w:r>
                </w:p>
                <w:p w:rsidR="005529E6" w:rsidRDefault="005529E6" w:rsidP="00A61243">
                  <w:pPr>
                    <w:numPr>
                      <w:ilvl w:val="0"/>
                      <w:numId w:val="2"/>
                    </w:numPr>
                    <w:spacing w:before="75"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Metastron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™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(Strontium-89 Chloride injection) — this drug is part of the radiopharmaceutical drugs category.</w:t>
                  </w:r>
                </w:p>
                <w:p w:rsidR="005529E6" w:rsidRDefault="005529E6" w:rsidP="00A61243">
                  <w:pPr>
                    <w:numPr>
                      <w:ilvl w:val="0"/>
                      <w:numId w:val="2"/>
                    </w:numPr>
                    <w:spacing w:before="75"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Pluvicto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™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(Lutetium Lu 177 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vipivotide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tetraxetan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) — this drug is part of the radiopharmaceutical drugs category.</w:t>
                  </w:r>
                </w:p>
                <w:p w:rsidR="005529E6" w:rsidRDefault="005529E6" w:rsidP="00A61243">
                  <w:pPr>
                    <w:numPr>
                      <w:ilvl w:val="0"/>
                      <w:numId w:val="2"/>
                    </w:numPr>
                    <w:spacing w:before="75" w:line="360" w:lineRule="exact"/>
                    <w:ind w:left="1020" w:hanging="240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lastRenderedPageBreak/>
                    <w:t>Monoferric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(ferric 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derismaltose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) — this drug is part of the iron replacement therapy category.</w:t>
                  </w:r>
                </w:p>
              </w:tc>
            </w:tr>
            <w:tr w:rsidR="005529E6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5529E6" w:rsidRDefault="005529E6">
                  <w:pPr>
                    <w:spacing w:line="360" w:lineRule="exact"/>
                    <w:rPr>
                      <w:rFonts w:eastAsiaTheme="minorHAnsi"/>
                      <w:sz w:val="22"/>
                      <w:szCs w:val="22"/>
                    </w:rPr>
                  </w:pPr>
                  <w:r>
                    <w:rPr>
                      <w:rFonts w:ascii="Helvetica" w:eastAsiaTheme="minorHAnsi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Submitting precertification requests </w:t>
                  </w:r>
                </w:p>
              </w:tc>
            </w:tr>
            <w:tr w:rsidR="005529E6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529E6" w:rsidRDefault="005529E6">
                  <w:pPr>
                    <w:spacing w:line="360" w:lineRule="exact"/>
                    <w:rPr>
                      <w:rFonts w:eastAsiaTheme="minorHAnsi"/>
                      <w:sz w:val="22"/>
                      <w:szCs w:val="22"/>
                    </w:rPr>
                  </w:pP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Be sure to submit precertification requests at least two weeks in advance. To save time, request precertification online. Doing so is fast, secure and simple.</w:t>
                  </w:r>
                </w:p>
              </w:tc>
            </w:tr>
            <w:tr w:rsidR="005529E6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529E6" w:rsidRDefault="005529E6">
                  <w:pPr>
                    <w:spacing w:line="360" w:lineRule="exact"/>
                    <w:rPr>
                      <w:rFonts w:eastAsiaTheme="minorHAnsi"/>
                      <w:sz w:val="22"/>
                      <w:szCs w:val="22"/>
                    </w:rPr>
                  </w:pP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You can submit most requests online through our </w:t>
                  </w:r>
                  <w:proofErr w:type="spellStart"/>
                  <w:r>
                    <w:rPr>
                      <w:rFonts w:eastAsiaTheme="minorHAnsi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eastAsiaTheme="minorHAnsi"/>
                      <w:sz w:val="22"/>
                      <w:szCs w:val="22"/>
                    </w:rPr>
                    <w:instrText xml:space="preserve"> HYPERLINK "https://urldefense.com/v3/__https:/click.provider.aetna.com/?qs=c47c5050b7c67a8a23566c2e4f5cae85f2c9665758e335728ecbe944f1d2b0bf9ac06e3b5a46a6ad4e80be8d4beb0983396e047e5acbf500377449431fcaa94a__;!!AIoPeOBjqRkZxnY!So48uVvTNwHbNfJRhoRYHui-CI-qcdbwkCjZD4iKoNrw-Ic81UiuyaV0QY3eR2XDyr8-hAqecNqB_BTcYd-fjjZkPpQ$" \t "_blank" </w:instrText>
                  </w:r>
                  <w:r>
                    <w:rPr>
                      <w:rFonts w:eastAsia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Hyperlink"/>
                      <w:rFonts w:eastAsiaTheme="minorHAnsi"/>
                      <w:b/>
                      <w:bCs/>
                      <w:color w:val="7D3F98"/>
                      <w:sz w:val="24"/>
                      <w:szCs w:val="24"/>
                    </w:rPr>
                    <w:t>Availity</w:t>
                  </w:r>
                  <w:proofErr w:type="spellEnd"/>
                  <w:r>
                    <w:rPr>
                      <w:rStyle w:val="Hyperlink"/>
                      <w:rFonts w:eastAsiaTheme="minorHAnsi"/>
                      <w:b/>
                      <w:bCs/>
                      <w:color w:val="7D3F98"/>
                      <w:sz w:val="24"/>
                      <w:szCs w:val="24"/>
                    </w:rPr>
                    <w:t xml:space="preserve"> provider portal</w:t>
                  </w:r>
                  <w:r>
                    <w:rPr>
                      <w:rFonts w:eastAsia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.* Or you can use your practice’s Electronic Medical Record (EMR) system if it’s set up for electronic precertification requests. Use our “Search by CPT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 code” search function on our </w:t>
                  </w:r>
                  <w:hyperlink r:id="rId6" w:tgtFrame="_blank" w:history="1">
                    <w:r>
                      <w:rPr>
                        <w:rStyle w:val="Hyperlink"/>
                        <w:rFonts w:eastAsiaTheme="minorHAnsi"/>
                        <w:b/>
                        <w:bCs/>
                        <w:color w:val="7D3F98"/>
                        <w:sz w:val="24"/>
                        <w:szCs w:val="24"/>
                      </w:rPr>
                      <w:t>precertification lists</w:t>
                    </w:r>
                  </w:hyperlink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 page to find out if the code requires precertification.**</w:t>
                  </w:r>
                </w:p>
              </w:tc>
            </w:tr>
            <w:tr w:rsidR="005529E6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529E6" w:rsidRDefault="005529E6">
                  <w:pPr>
                    <w:spacing w:line="360" w:lineRule="exact"/>
                    <w:rPr>
                      <w:rFonts w:eastAsiaTheme="minorHAnsi"/>
                      <w:sz w:val="22"/>
                      <w:szCs w:val="22"/>
                    </w:rPr>
                  </w:pP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Learn more about </w:t>
                  </w:r>
                  <w:hyperlink r:id="rId7" w:tgtFrame="_blank" w:history="1">
                    <w:r>
                      <w:rPr>
                        <w:rStyle w:val="Hyperlink"/>
                        <w:rFonts w:eastAsiaTheme="minorHAnsi"/>
                        <w:b/>
                        <w:bCs/>
                        <w:color w:val="7D3F98"/>
                        <w:sz w:val="24"/>
                        <w:szCs w:val="24"/>
                      </w:rPr>
                      <w:t>precertification</w:t>
                    </w:r>
                  </w:hyperlink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. </w:t>
                  </w:r>
                </w:p>
              </w:tc>
            </w:tr>
            <w:tr w:rsidR="005529E6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529E6" w:rsidRDefault="005529E6">
                  <w:pPr>
                    <w:spacing w:line="360" w:lineRule="exact"/>
                    <w:rPr>
                      <w:rFonts w:eastAsiaTheme="minorHAnsi"/>
                      <w:sz w:val="22"/>
                      <w:szCs w:val="22"/>
                    </w:rPr>
                  </w:pP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Are you asking for precertification on a specialty drug for a commercial or Medicare member? Then submit your request through 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Novologix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, also available on 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Availity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5529E6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150" w:type="dxa"/>
                    <w:left w:w="0" w:type="dxa"/>
                    <w:bottom w:w="375" w:type="dxa"/>
                    <w:right w:w="300" w:type="dxa"/>
                  </w:tcMar>
                  <w:vAlign w:val="center"/>
                  <w:hideMark/>
                </w:tcPr>
                <w:p w:rsidR="005529E6" w:rsidRDefault="005529E6">
                  <w:pPr>
                    <w:spacing w:line="360" w:lineRule="exact"/>
                    <w:rPr>
                      <w:rFonts w:eastAsiaTheme="minorHAnsi"/>
                      <w:sz w:val="22"/>
                      <w:szCs w:val="22"/>
                    </w:rPr>
                  </w:pP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 xml:space="preserve">Not registered for </w:t>
                  </w:r>
                  <w:proofErr w:type="spellStart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Availity</w:t>
                  </w:r>
                  <w:proofErr w:type="spellEnd"/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? Go to </w:t>
                  </w:r>
                  <w:proofErr w:type="spellStart"/>
                  <w:r>
                    <w:rPr>
                      <w:rFonts w:eastAsiaTheme="minorHAnsi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eastAsiaTheme="minorHAnsi"/>
                      <w:sz w:val="22"/>
                      <w:szCs w:val="22"/>
                    </w:rPr>
                    <w:instrText xml:space="preserve"> HYPERLINK "https://urldefense.com/v3/__https:/click.provider.aetna.com/?qs=68c921f4d2bd715d09e8c287f661ff28055721217515389b44bd74232e538949947a7671efef0bec90e60caf658dd05be951c701cf16162b1ca5f95292f5f137__;!!AIoPeOBjqRkZxnY!So48uVvTNwHbNfJRhoRYHui-CI-qcdbwkCjZD4iKoNrw-Ic81UiuyaV0QY3eR2XDyr8-hAqecNqB_BTcYd-fbVRQW9g$" \t "_blank" </w:instrText>
                  </w:r>
                  <w:r>
                    <w:rPr>
                      <w:rFonts w:eastAsia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Hyperlink"/>
                      <w:rFonts w:eastAsiaTheme="minorHAnsi"/>
                      <w:b/>
                      <w:bCs/>
                      <w:color w:val="7D3F98"/>
                      <w:sz w:val="24"/>
                      <w:szCs w:val="24"/>
                    </w:rPr>
                    <w:t>Availity</w:t>
                  </w:r>
                  <w:proofErr w:type="spellEnd"/>
                  <w:r>
                    <w:rPr>
                      <w:rFonts w:eastAsia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Helvetica" w:eastAsiaTheme="minorHAnsi" w:hAnsi="Helvetica" w:cs="Helvetica"/>
                      <w:color w:val="000000"/>
                      <w:sz w:val="24"/>
                      <w:szCs w:val="24"/>
                    </w:rPr>
                    <w:t> to register and learn more. </w:t>
                  </w:r>
                </w:p>
              </w:tc>
            </w:tr>
          </w:tbl>
          <w:p w:rsidR="005529E6" w:rsidRDefault="00552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566" w:rsidRDefault="00445566">
      <w:bookmarkStart w:id="0" w:name="_GoBack"/>
      <w:bookmarkEnd w:id="0"/>
    </w:p>
    <w:sectPr w:rsidR="0044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30DD"/>
    <w:multiLevelType w:val="multilevel"/>
    <w:tmpl w:val="B714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66385"/>
    <w:multiLevelType w:val="multilevel"/>
    <w:tmpl w:val="515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6"/>
    <w:rsid w:val="00445566"/>
    <w:rsid w:val="005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CA5E7-6AE0-46E3-8EC7-67C33B1D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E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9E6"/>
    <w:rPr>
      <w:rFonts w:ascii="Helvetica" w:hAnsi="Helvetica" w:cs="Helvetica" w:hint="default"/>
      <w:strike w:val="0"/>
      <w:dstrike w:val="0"/>
      <w:color w:val="91919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click.provider.aetna.com/?qs=68c921f4d2bd715d8f50d3e79c0b916fdd918121a5f57de9de053f8607c157961d7351df31087db27bd937755415cef27326c75d4c16f81135ba9925d6015517__;!!AIoPeOBjqRkZxnY!So48uVvTNwHbNfJRhoRYHui-CI-qcdbwkCjZD4iKoNrw-Ic81UiuyaV0QY3eR2XDyr8-hAqecNqB_BTcYd-fFF03FXE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click.provider.aetna.com/?qs=c47c5050b7c67a8a27277575020a8ea6a35e98348b8c5bf6d36a14a1a7461b8ca46fd9154ffb1423366a4cda96c4d6d9d9fb2dcdea9b1ac13cb17615577eb131__;!!AIoPeOBjqRkZxnY!So48uVvTNwHbNfJRhoRYHui-CI-qcdbwkCjZD4iKoNrw-Ic81UiuyaV0QY3eR2XDyr8-hAqecNqB_BTcYd-fG3kyB-A$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Center Health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Madison, Kimberly M</dc:creator>
  <cp:keywords/>
  <dc:description/>
  <cp:lastModifiedBy>Madison, Kimberly M</cp:lastModifiedBy>
  <cp:revision>1</cp:revision>
  <dcterms:created xsi:type="dcterms:W3CDTF">2023-08-03T19:05:00Z</dcterms:created>
  <dcterms:modified xsi:type="dcterms:W3CDTF">2023-08-03T19:05:00Z</dcterms:modified>
</cp:coreProperties>
</file>