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00" w:type="dxa"/>
        <w:jc w:val="center"/>
        <w:tblCellMar>
          <w:left w:w="0" w:type="dxa"/>
          <w:right w:w="0" w:type="dxa"/>
        </w:tblCellMar>
        <w:tblLook w:val="04A0" w:firstRow="1" w:lastRow="0" w:firstColumn="1" w:lastColumn="0" w:noHBand="0" w:noVBand="1"/>
      </w:tblPr>
      <w:tblGrid>
        <w:gridCol w:w="8700"/>
      </w:tblGrid>
      <w:tr w:rsidR="004622CA" w:rsidRPr="004622CA" w:rsidTr="004622CA">
        <w:trPr>
          <w:jc w:val="center"/>
        </w:trPr>
        <w:tc>
          <w:tcPr>
            <w:tcW w:w="0" w:type="auto"/>
            <w:vAlign w:val="center"/>
            <w:hideMark/>
          </w:tcPr>
          <w:p w:rsidR="004622CA" w:rsidRPr="004622CA" w:rsidRDefault="004622CA" w:rsidP="004622CA">
            <w:pPr>
              <w:spacing w:after="0" w:line="240" w:lineRule="auto"/>
              <w:rPr>
                <w:rFonts w:ascii="Times New Roman" w:eastAsia="Calibri" w:hAnsi="Times New Roman" w:cs="Times New Roman"/>
                <w:sz w:val="24"/>
                <w:szCs w:val="24"/>
              </w:rPr>
            </w:pPr>
          </w:p>
        </w:tc>
      </w:tr>
    </w:tbl>
    <w:p w:rsidR="004622CA" w:rsidRPr="004622CA" w:rsidRDefault="004622CA" w:rsidP="004622CA">
      <w:pPr>
        <w:spacing w:after="0" w:line="240" w:lineRule="auto"/>
        <w:rPr>
          <w:rFonts w:ascii="Arial" w:eastAsia="Times New Roman" w:hAnsi="Arial" w:cs="Arial"/>
          <w:vanish/>
          <w:color w:val="222222"/>
          <w:sz w:val="2"/>
          <w:szCs w:val="2"/>
        </w:rPr>
      </w:pPr>
      <w:r w:rsidRPr="004622CA">
        <w:rPr>
          <w:rFonts w:ascii="Arial" w:eastAsia="Times New Roman" w:hAnsi="Arial" w:cs="Arial"/>
          <w:vanish/>
          <w:color w:val="FFFFFF"/>
          <w:sz w:val="2"/>
          <w:szCs w:val="2"/>
        </w:rPr>
        <w:t xml:space="preserve">Standard appeals process for all outpatient partial hospitalization services </w:t>
      </w:r>
    </w:p>
    <w:tbl>
      <w:tblPr>
        <w:tblW w:w="5000" w:type="pct"/>
        <w:shd w:val="clear" w:color="auto" w:fill="E7E7E8"/>
        <w:tblCellMar>
          <w:left w:w="0" w:type="dxa"/>
          <w:right w:w="0" w:type="dxa"/>
        </w:tblCellMar>
        <w:tblLook w:val="04A0" w:firstRow="1" w:lastRow="0" w:firstColumn="1" w:lastColumn="0" w:noHBand="0" w:noVBand="1"/>
      </w:tblPr>
      <w:tblGrid>
        <w:gridCol w:w="9360"/>
      </w:tblGrid>
      <w:tr w:rsidR="004622CA" w:rsidRPr="004622CA" w:rsidTr="004622CA">
        <w:tc>
          <w:tcPr>
            <w:tcW w:w="0" w:type="auto"/>
            <w:shd w:val="clear" w:color="auto" w:fill="E7E7E8"/>
            <w:hideMark/>
          </w:tcPr>
          <w:tbl>
            <w:tblPr>
              <w:tblW w:w="8700" w:type="dxa"/>
              <w:jc w:val="center"/>
              <w:tblCellMar>
                <w:left w:w="0" w:type="dxa"/>
                <w:right w:w="0" w:type="dxa"/>
              </w:tblCellMar>
              <w:tblLook w:val="04A0" w:firstRow="1" w:lastRow="0" w:firstColumn="1" w:lastColumn="0" w:noHBand="0" w:noVBand="1"/>
            </w:tblPr>
            <w:tblGrid>
              <w:gridCol w:w="8706"/>
            </w:tblGrid>
            <w:tr w:rsidR="004622CA" w:rsidRPr="004622C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06"/>
                  </w:tblGrid>
                  <w:tr w:rsidR="004622CA" w:rsidRPr="004622CA">
                    <w:tc>
                      <w:tcPr>
                        <w:tcW w:w="0" w:type="auto"/>
                        <w:hideMark/>
                      </w:tcPr>
                      <w:tbl>
                        <w:tblPr>
                          <w:tblW w:w="8700" w:type="dxa"/>
                          <w:tblCellMar>
                            <w:left w:w="0" w:type="dxa"/>
                            <w:right w:w="0" w:type="dxa"/>
                          </w:tblCellMar>
                          <w:tblLook w:val="04A0" w:firstRow="1" w:lastRow="0" w:firstColumn="1" w:lastColumn="0" w:noHBand="0" w:noVBand="1"/>
                        </w:tblPr>
                        <w:tblGrid>
                          <w:gridCol w:w="4347"/>
                          <w:gridCol w:w="4347"/>
                          <w:gridCol w:w="6"/>
                        </w:tblGrid>
                        <w:tr w:rsidR="004622CA" w:rsidRPr="004622CA">
                          <w:tc>
                            <w:tcPr>
                              <w:tcW w:w="2500" w:type="pct"/>
                              <w:tcMar>
                                <w:top w:w="0" w:type="dxa"/>
                                <w:left w:w="450" w:type="dxa"/>
                                <w:bottom w:w="0" w:type="dxa"/>
                                <w:right w:w="0" w:type="dxa"/>
                              </w:tcMar>
                              <w:hideMark/>
                            </w:tcPr>
                            <w:p w:rsidR="004622CA" w:rsidRPr="004622CA" w:rsidRDefault="004622CA" w:rsidP="004622CA">
                              <w:pPr>
                                <w:spacing w:after="0" w:line="240" w:lineRule="auto"/>
                                <w:rPr>
                                  <w:rFonts w:ascii="Arial" w:eastAsia="Times New Roman" w:hAnsi="Arial" w:cs="Arial"/>
                                  <w:vanish/>
                                  <w:color w:val="222222"/>
                                  <w:sz w:val="2"/>
                                  <w:szCs w:val="2"/>
                                </w:rPr>
                              </w:pPr>
                              <w:r w:rsidRPr="004622CA">
                                <w:rPr>
                                  <w:rFonts w:ascii="Times New Roman" w:eastAsia="Calibri" w:hAnsi="Times New Roman" w:cs="Times New Roman"/>
                                  <w:noProof/>
                                  <w:sz w:val="24"/>
                                  <w:szCs w:val="24"/>
                                </w:rPr>
                                <w:drawing>
                                  <wp:anchor distT="0" distB="0" distL="0" distR="0" simplePos="0" relativeHeight="251659264" behindDoc="0" locked="0" layoutInCell="1" allowOverlap="0" wp14:anchorId="49A29864" wp14:editId="15CBDB96">
                                    <wp:simplePos x="0" y="0"/>
                                    <wp:positionH relativeFrom="column">
                                      <wp:align>left</wp:align>
                                    </wp:positionH>
                                    <wp:positionV relativeFrom="line">
                                      <wp:posOffset>0</wp:posOffset>
                                    </wp:positionV>
                                    <wp:extent cx="1385570" cy="733425"/>
                                    <wp:effectExtent l="0" t="0" r="5080" b="9525"/>
                                    <wp:wrapSquare wrapText="bothSides"/>
                                    <wp:docPr id="1" name="Picture 1" descr="Cig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gna Logo"/>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385570" cy="733425"/>
                                            </a:xfrm>
                                            <a:prstGeom prst="rect">
                                              <a:avLst/>
                                            </a:prstGeom>
                                            <a:noFill/>
                                          </pic:spPr>
                                        </pic:pic>
                                      </a:graphicData>
                                    </a:graphic>
                                    <wp14:sizeRelH relativeFrom="page">
                                      <wp14:pctWidth>0</wp14:pctWidth>
                                    </wp14:sizeRelH>
                                    <wp14:sizeRelV relativeFrom="page">
                                      <wp14:pctHeight>0</wp14:pctHeight>
                                    </wp14:sizeRelV>
                                  </wp:anchor>
                                </w:drawing>
                              </w:r>
                            </w:p>
                          </w:tc>
                          <w:tc>
                            <w:tcPr>
                              <w:tcW w:w="2500" w:type="pct"/>
                              <w:tcMar>
                                <w:top w:w="0" w:type="dxa"/>
                                <w:left w:w="0" w:type="dxa"/>
                                <w:bottom w:w="0" w:type="dxa"/>
                                <w:right w:w="450" w:type="dxa"/>
                              </w:tcMar>
                              <w:hideMark/>
                            </w:tcPr>
                            <w:p w:rsidR="004622CA" w:rsidRPr="004622CA" w:rsidRDefault="004622CA" w:rsidP="004622CA">
                              <w:pPr>
                                <w:spacing w:after="0" w:line="240" w:lineRule="auto"/>
                                <w:rPr>
                                  <w:rFonts w:ascii="Arial" w:eastAsia="Times New Roman" w:hAnsi="Arial" w:cs="Arial"/>
                                  <w:color w:val="222222"/>
                                  <w:sz w:val="24"/>
                                  <w:szCs w:val="24"/>
                                </w:rPr>
                              </w:pPr>
                              <w:r w:rsidRPr="004622CA">
                                <w:rPr>
                                  <w:rFonts w:ascii="Arial" w:eastAsia="Times New Roman" w:hAnsi="Arial" w:cs="Arial"/>
                                  <w:color w:val="222222"/>
                                  <w:sz w:val="24"/>
                                  <w:szCs w:val="24"/>
                                </w:rPr>
                                <w:t> </w:t>
                              </w:r>
                            </w:p>
                          </w:tc>
                          <w:tc>
                            <w:tcPr>
                              <w:tcW w:w="6" w:type="dxa"/>
                              <w:hideMark/>
                            </w:tcPr>
                            <w:p w:rsidR="004622CA" w:rsidRPr="004622CA" w:rsidRDefault="004622CA" w:rsidP="004622CA">
                              <w:pPr>
                                <w:spacing w:after="0" w:line="240" w:lineRule="auto"/>
                                <w:rPr>
                                  <w:rFonts w:ascii="Arial" w:eastAsia="Times New Roman" w:hAnsi="Arial" w:cs="Arial"/>
                                  <w:color w:val="222222"/>
                                  <w:sz w:val="24"/>
                                  <w:szCs w:val="24"/>
                                </w:rPr>
                              </w:pP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r w:rsidR="004622CA" w:rsidRPr="004622CA">
              <w:trPr>
                <w:jc w:val="center"/>
              </w:trPr>
              <w:tc>
                <w:tcPr>
                  <w:tcW w:w="0" w:type="auto"/>
                  <w:hideMark/>
                </w:tcPr>
                <w:tbl>
                  <w:tblPr>
                    <w:tblW w:w="5000" w:type="pct"/>
                    <w:shd w:val="clear" w:color="auto" w:fill="188CCC"/>
                    <w:tblCellMar>
                      <w:left w:w="0" w:type="dxa"/>
                      <w:right w:w="0" w:type="dxa"/>
                    </w:tblCellMar>
                    <w:tblLook w:val="04A0" w:firstRow="1" w:lastRow="0" w:firstColumn="1" w:lastColumn="0" w:noHBand="0" w:noVBand="1"/>
                  </w:tblPr>
                  <w:tblGrid>
                    <w:gridCol w:w="8700"/>
                    <w:gridCol w:w="6"/>
                  </w:tblGrid>
                  <w:tr w:rsidR="004622CA" w:rsidRPr="004622CA">
                    <w:tc>
                      <w:tcPr>
                        <w:tcW w:w="0" w:type="auto"/>
                        <w:shd w:val="clear" w:color="auto" w:fill="188CCC"/>
                        <w:hideMark/>
                      </w:tcPr>
                      <w:tbl>
                        <w:tblPr>
                          <w:tblW w:w="8700" w:type="dxa"/>
                          <w:tblCellMar>
                            <w:left w:w="0" w:type="dxa"/>
                            <w:right w:w="0" w:type="dxa"/>
                          </w:tblCellMar>
                          <w:tblLook w:val="04A0" w:firstRow="1" w:lastRow="0" w:firstColumn="1" w:lastColumn="0" w:noHBand="0" w:noVBand="1"/>
                        </w:tblPr>
                        <w:tblGrid>
                          <w:gridCol w:w="8700"/>
                        </w:tblGrid>
                        <w:tr w:rsidR="004622CA" w:rsidRPr="004622CA">
                          <w:tc>
                            <w:tcPr>
                              <w:tcW w:w="3750" w:type="pct"/>
                              <w:tcMar>
                                <w:top w:w="225" w:type="dxa"/>
                                <w:left w:w="450" w:type="dxa"/>
                                <w:bottom w:w="225" w:type="dxa"/>
                                <w:right w:w="450" w:type="dxa"/>
                              </w:tcMar>
                              <w:hideMark/>
                            </w:tcPr>
                            <w:p w:rsidR="004622CA" w:rsidRPr="004622CA" w:rsidRDefault="004622CA" w:rsidP="004622CA">
                              <w:pPr>
                                <w:spacing w:after="0" w:line="540" w:lineRule="atLeast"/>
                                <w:rPr>
                                  <w:rFonts w:ascii="Arial" w:eastAsia="Times New Roman" w:hAnsi="Arial" w:cs="Arial"/>
                                  <w:caps/>
                                  <w:color w:val="FFFFFF"/>
                                  <w:sz w:val="44"/>
                                  <w:szCs w:val="44"/>
                                </w:rPr>
                              </w:pPr>
                              <w:r w:rsidRPr="004622CA">
                                <w:rPr>
                                  <w:rFonts w:ascii="Arial" w:eastAsia="Times New Roman" w:hAnsi="Arial" w:cs="Arial"/>
                                  <w:b/>
                                  <w:bCs/>
                                  <w:caps/>
                                  <w:color w:val="FFFFFF"/>
                                  <w:sz w:val="44"/>
                                  <w:szCs w:val="44"/>
                                </w:rPr>
                                <w:t xml:space="preserve">Standard appeals process for all outpatient PARTIAL hospitalization services </w:t>
                              </w:r>
                            </w:p>
                          </w:tc>
                        </w:tr>
                      </w:tbl>
                      <w:p w:rsidR="004622CA" w:rsidRPr="004622CA" w:rsidRDefault="004622CA" w:rsidP="004622CA">
                        <w:pPr>
                          <w:spacing w:after="0" w:line="240" w:lineRule="auto"/>
                          <w:rPr>
                            <w:rFonts w:ascii="Times New Roman" w:eastAsia="Times New Roman" w:hAnsi="Times New Roman" w:cs="Times New Roman"/>
                            <w:sz w:val="20"/>
                            <w:szCs w:val="20"/>
                          </w:rPr>
                        </w:pPr>
                      </w:p>
                    </w:tc>
                    <w:tc>
                      <w:tcPr>
                        <w:tcW w:w="6" w:type="dxa"/>
                        <w:shd w:val="clear" w:color="auto" w:fill="188CCC"/>
                        <w:hideMark/>
                      </w:tcPr>
                      <w:p w:rsidR="004622CA" w:rsidRPr="004622CA" w:rsidRDefault="004622CA" w:rsidP="004622CA">
                        <w:pPr>
                          <w:spacing w:after="0" w:line="240" w:lineRule="auto"/>
                          <w:rPr>
                            <w:rFonts w:ascii="Times New Roman" w:eastAsia="Times New Roman" w:hAnsi="Times New Roman" w:cs="Times New Roman"/>
                            <w:sz w:val="20"/>
                            <w:szCs w:val="20"/>
                          </w:rPr>
                        </w:pP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r w:rsidR="004622CA" w:rsidRPr="004622CA">
              <w:trPr>
                <w:jc w:val="center"/>
              </w:trPr>
              <w:tc>
                <w:tcPr>
                  <w:tcW w:w="0" w:type="auto"/>
                  <w:hideMark/>
                </w:tcPr>
                <w:tbl>
                  <w:tblPr>
                    <w:tblW w:w="5000" w:type="pct"/>
                    <w:shd w:val="clear" w:color="auto" w:fill="004986"/>
                    <w:tblCellMar>
                      <w:left w:w="0" w:type="dxa"/>
                      <w:right w:w="0" w:type="dxa"/>
                    </w:tblCellMar>
                    <w:tblLook w:val="04A0" w:firstRow="1" w:lastRow="0" w:firstColumn="1" w:lastColumn="0" w:noHBand="0" w:noVBand="1"/>
                  </w:tblPr>
                  <w:tblGrid>
                    <w:gridCol w:w="8706"/>
                  </w:tblGrid>
                  <w:tr w:rsidR="004622CA" w:rsidRPr="004622CA">
                    <w:tc>
                      <w:tcPr>
                        <w:tcW w:w="0" w:type="auto"/>
                        <w:shd w:val="clear" w:color="auto" w:fill="004986"/>
                        <w:hideMark/>
                      </w:tcPr>
                      <w:tbl>
                        <w:tblPr>
                          <w:tblW w:w="8700" w:type="dxa"/>
                          <w:tblCellMar>
                            <w:left w:w="0" w:type="dxa"/>
                            <w:right w:w="0" w:type="dxa"/>
                          </w:tblCellMar>
                          <w:tblLook w:val="04A0" w:firstRow="1" w:lastRow="0" w:firstColumn="1" w:lastColumn="0" w:noHBand="0" w:noVBand="1"/>
                        </w:tblPr>
                        <w:tblGrid>
                          <w:gridCol w:w="8694"/>
                          <w:gridCol w:w="6"/>
                        </w:tblGrid>
                        <w:tr w:rsidR="004622CA" w:rsidRPr="004622CA">
                          <w:tc>
                            <w:tcPr>
                              <w:tcW w:w="0" w:type="auto"/>
                              <w:tcMar>
                                <w:top w:w="255" w:type="dxa"/>
                                <w:left w:w="450" w:type="dxa"/>
                                <w:bottom w:w="255" w:type="dxa"/>
                                <w:right w:w="450" w:type="dxa"/>
                              </w:tcMar>
                              <w:hideMark/>
                            </w:tcPr>
                            <w:p w:rsidR="004622CA" w:rsidRPr="004622CA" w:rsidRDefault="004622CA" w:rsidP="004622CA">
                              <w:pPr>
                                <w:spacing w:after="0" w:line="300" w:lineRule="atLeast"/>
                                <w:rPr>
                                  <w:rFonts w:ascii="Arial" w:eastAsia="Times New Roman" w:hAnsi="Arial" w:cs="Arial"/>
                                  <w:color w:val="FFFFFF"/>
                                  <w:sz w:val="27"/>
                                  <w:szCs w:val="27"/>
                                </w:rPr>
                              </w:pPr>
                              <w:r w:rsidRPr="004622CA">
                                <w:rPr>
                                  <w:rFonts w:ascii="Arial" w:eastAsia="Times New Roman" w:hAnsi="Arial" w:cs="Arial"/>
                                  <w:b/>
                                  <w:bCs/>
                                  <w:color w:val="FFFFFF"/>
                                  <w:sz w:val="27"/>
                                  <w:szCs w:val="27"/>
                                </w:rPr>
                                <w:t>Cigna Behavioral Health</w:t>
                              </w:r>
                            </w:p>
                          </w:tc>
                          <w:tc>
                            <w:tcPr>
                              <w:tcW w:w="6" w:type="dxa"/>
                              <w:hideMark/>
                            </w:tcPr>
                            <w:p w:rsidR="004622CA" w:rsidRPr="004622CA" w:rsidRDefault="004622CA" w:rsidP="004622CA">
                              <w:pPr>
                                <w:spacing w:after="0" w:line="240" w:lineRule="auto"/>
                                <w:rPr>
                                  <w:rFonts w:ascii="Arial" w:eastAsia="Times New Roman" w:hAnsi="Arial" w:cs="Arial"/>
                                  <w:color w:val="FFFFFF"/>
                                  <w:sz w:val="27"/>
                                  <w:szCs w:val="27"/>
                                </w:rPr>
                              </w:pP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r w:rsidR="004622CA" w:rsidRPr="004622CA">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8706"/>
                  </w:tblGrid>
                  <w:tr w:rsidR="004622CA" w:rsidRPr="004622CA">
                    <w:tc>
                      <w:tcPr>
                        <w:tcW w:w="0" w:type="auto"/>
                        <w:shd w:val="clear" w:color="auto" w:fill="FFFFFF"/>
                        <w:hideMark/>
                      </w:tcPr>
                      <w:tbl>
                        <w:tblPr>
                          <w:tblW w:w="8700" w:type="dxa"/>
                          <w:tblCellMar>
                            <w:left w:w="0" w:type="dxa"/>
                            <w:right w:w="0" w:type="dxa"/>
                          </w:tblCellMar>
                          <w:tblLook w:val="04A0" w:firstRow="1" w:lastRow="0" w:firstColumn="1" w:lastColumn="0" w:noHBand="0" w:noVBand="1"/>
                        </w:tblPr>
                        <w:tblGrid>
                          <w:gridCol w:w="8700"/>
                        </w:tblGrid>
                        <w:tr w:rsidR="004622CA" w:rsidRPr="004622CA">
                          <w:tc>
                            <w:tcPr>
                              <w:tcW w:w="0" w:type="auto"/>
                              <w:tcMar>
                                <w:top w:w="0" w:type="dxa"/>
                                <w:left w:w="450" w:type="dxa"/>
                                <w:bottom w:w="0" w:type="dxa"/>
                                <w:right w:w="450" w:type="dxa"/>
                              </w:tcMar>
                              <w:hideMark/>
                            </w:tcPr>
                            <w:tbl>
                              <w:tblPr>
                                <w:tblW w:w="5000" w:type="pct"/>
                                <w:tblCellMar>
                                  <w:left w:w="0" w:type="dxa"/>
                                  <w:right w:w="0" w:type="dxa"/>
                                </w:tblCellMar>
                                <w:tblLook w:val="04A0" w:firstRow="1" w:lastRow="0" w:firstColumn="1" w:lastColumn="0" w:noHBand="0" w:noVBand="1"/>
                              </w:tblPr>
                              <w:tblGrid>
                                <w:gridCol w:w="7794"/>
                                <w:gridCol w:w="6"/>
                              </w:tblGrid>
                              <w:tr w:rsidR="004622CA" w:rsidRPr="004622CA">
                                <w:tc>
                                  <w:tcPr>
                                    <w:tcW w:w="0" w:type="auto"/>
                                    <w:hideMark/>
                                  </w:tcPr>
                                  <w:p w:rsidR="004622CA" w:rsidRPr="004622CA" w:rsidRDefault="004622CA" w:rsidP="004622CA">
                                    <w:pPr>
                                      <w:spacing w:after="150" w:line="240" w:lineRule="auto"/>
                                      <w:rPr>
                                        <w:rFonts w:ascii="Arial" w:eastAsia="Calibri" w:hAnsi="Arial" w:cs="Arial"/>
                                        <w:color w:val="222222"/>
                                        <w:sz w:val="24"/>
                                        <w:szCs w:val="24"/>
                                      </w:rPr>
                                    </w:pPr>
                                    <w:r w:rsidRPr="004622CA">
                                      <w:rPr>
                                        <w:rFonts w:ascii="Arial" w:eastAsia="Calibri" w:hAnsi="Arial" w:cs="Arial"/>
                                        <w:color w:val="222222"/>
                                        <w:sz w:val="24"/>
                                        <w:szCs w:val="24"/>
                                      </w:rPr>
                                      <w:t>Dear Behavioral Provider,</w:t>
                                    </w:r>
                                  </w:p>
                                  <w:p w:rsidR="004622CA" w:rsidRPr="004622CA" w:rsidRDefault="004622CA" w:rsidP="004622CA">
                                    <w:pPr>
                                      <w:spacing w:after="150" w:line="240" w:lineRule="auto"/>
                                      <w:rPr>
                                        <w:rFonts w:ascii="Arial" w:eastAsia="Calibri" w:hAnsi="Arial" w:cs="Arial"/>
                                        <w:color w:val="222222"/>
                                        <w:sz w:val="24"/>
                                        <w:szCs w:val="24"/>
                                      </w:rPr>
                                    </w:pPr>
                                    <w:r w:rsidRPr="004622CA">
                                      <w:rPr>
                                        <w:rFonts w:ascii="Arial" w:eastAsia="Calibri" w:hAnsi="Arial" w:cs="Arial"/>
                                        <w:color w:val="222222"/>
                                        <w:sz w:val="24"/>
                                        <w:szCs w:val="24"/>
                                      </w:rPr>
                                      <w:t xml:space="preserve">Beginning August 31, 2020, claim appeals for outpatient partial hospitalization (OPH) services/partial hospitalization programs (PHPs) must be submitted by mail or fax. We will no longer conduct telephonic reviews for OPH/PHP claim </w:t>
                                    </w:r>
                                    <w:proofErr w:type="gramStart"/>
                                    <w:r w:rsidRPr="004622CA">
                                      <w:rPr>
                                        <w:rFonts w:ascii="Arial" w:eastAsia="Calibri" w:hAnsi="Arial" w:cs="Arial"/>
                                        <w:color w:val="222222"/>
                                        <w:sz w:val="24"/>
                                        <w:szCs w:val="24"/>
                                      </w:rPr>
                                      <w:t>appeals.*</w:t>
                                    </w:r>
                                    <w:proofErr w:type="gramEnd"/>
                                    <w:r w:rsidRPr="004622CA">
                                      <w:rPr>
                                        <w:rFonts w:ascii="Arial" w:eastAsia="Calibri" w:hAnsi="Arial" w:cs="Arial"/>
                                        <w:color w:val="222222"/>
                                        <w:sz w:val="24"/>
                                        <w:szCs w:val="24"/>
                                      </w:rPr>
                                      <w:t xml:space="preserve"> This change will standardize and streamline our appeals process for all outpatient levels of care and services.</w:t>
                                    </w:r>
                                  </w:p>
                                  <w:p w:rsidR="004622CA" w:rsidRPr="004622CA" w:rsidRDefault="004622CA" w:rsidP="004622CA">
                                    <w:pPr>
                                      <w:spacing w:after="150" w:line="240" w:lineRule="auto"/>
                                      <w:rPr>
                                        <w:rFonts w:ascii="Arial" w:eastAsia="Calibri" w:hAnsi="Arial" w:cs="Arial"/>
                                        <w:color w:val="222222"/>
                                        <w:sz w:val="24"/>
                                        <w:szCs w:val="24"/>
                                      </w:rPr>
                                    </w:pPr>
                                    <w:r w:rsidRPr="004622CA">
                                      <w:rPr>
                                        <w:rFonts w:ascii="Arial" w:eastAsia="Calibri" w:hAnsi="Arial" w:cs="Arial"/>
                                        <w:color w:val="222222"/>
                                        <w:sz w:val="24"/>
                                        <w:szCs w:val="24"/>
                                      </w:rPr>
                                      <w:t>Please note that telephonic reviews will still be required if OPH/PHP services are considered a higher level of care.</w:t>
                                    </w:r>
                                  </w:p>
                                  <w:p w:rsidR="004622CA" w:rsidRPr="004622CA" w:rsidRDefault="004622CA" w:rsidP="004622CA">
                                    <w:pPr>
                                      <w:spacing w:before="150" w:after="0" w:line="270" w:lineRule="atLeast"/>
                                      <w:rPr>
                                        <w:rFonts w:ascii="Arial" w:eastAsia="Calibri" w:hAnsi="Arial" w:cs="Arial"/>
                                        <w:color w:val="188CCC"/>
                                        <w:sz w:val="21"/>
                                        <w:szCs w:val="21"/>
                                      </w:rPr>
                                    </w:pPr>
                                    <w:r w:rsidRPr="004622CA">
                                      <w:rPr>
                                        <w:rFonts w:ascii="Arial" w:eastAsia="Calibri" w:hAnsi="Arial" w:cs="Arial"/>
                                        <w:b/>
                                        <w:bCs/>
                                        <w:color w:val="188CCC"/>
                                        <w:sz w:val="21"/>
                                        <w:szCs w:val="21"/>
                                      </w:rPr>
                                      <w:t>What this means to you</w:t>
                                    </w:r>
                                  </w:p>
                                  <w:p w:rsidR="004622CA" w:rsidRPr="004622CA" w:rsidRDefault="004622CA" w:rsidP="004622CA">
                                    <w:pPr>
                                      <w:spacing w:after="150" w:line="240" w:lineRule="auto"/>
                                      <w:rPr>
                                        <w:rFonts w:ascii="Arial" w:eastAsia="Calibri" w:hAnsi="Arial" w:cs="Arial"/>
                                        <w:color w:val="222222"/>
                                        <w:sz w:val="24"/>
                                        <w:szCs w:val="24"/>
                                      </w:rPr>
                                    </w:pPr>
                                    <w:r w:rsidRPr="004622CA">
                                      <w:rPr>
                                        <w:rFonts w:ascii="Arial" w:eastAsia="Calibri" w:hAnsi="Arial" w:cs="Arial"/>
                                        <w:color w:val="222222"/>
                                        <w:sz w:val="24"/>
                                        <w:szCs w:val="24"/>
                                      </w:rPr>
                                      <w:t>OPH/PHP claim appeals should be submitted using the same process for outpatient (OP) and intensive outpatient (IOP) services. For appeal requirements and submission information, please refer to your determination letter.</w:t>
                                    </w:r>
                                  </w:p>
                                  <w:p w:rsidR="004622CA" w:rsidRPr="004622CA" w:rsidRDefault="004622CA" w:rsidP="004622CA">
                                    <w:pPr>
                                      <w:spacing w:before="150" w:after="0" w:line="270" w:lineRule="atLeast"/>
                                      <w:rPr>
                                        <w:rFonts w:ascii="Arial" w:eastAsia="Calibri" w:hAnsi="Arial" w:cs="Arial"/>
                                        <w:color w:val="188CCC"/>
                                        <w:sz w:val="21"/>
                                        <w:szCs w:val="21"/>
                                      </w:rPr>
                                    </w:pPr>
                                    <w:r w:rsidRPr="004622CA">
                                      <w:rPr>
                                        <w:rFonts w:ascii="Arial" w:eastAsia="Calibri" w:hAnsi="Arial" w:cs="Arial"/>
                                        <w:b/>
                                        <w:bCs/>
                                        <w:color w:val="188CCC"/>
                                        <w:sz w:val="21"/>
                                        <w:szCs w:val="21"/>
                                      </w:rPr>
                                      <w:t>Additional information</w:t>
                                    </w:r>
                                  </w:p>
                                  <w:p w:rsidR="004622CA" w:rsidRPr="004622CA" w:rsidRDefault="004622CA" w:rsidP="004622CA">
                                    <w:pPr>
                                      <w:spacing w:after="150" w:line="240" w:lineRule="auto"/>
                                      <w:rPr>
                                        <w:rFonts w:ascii="Arial" w:eastAsia="Calibri" w:hAnsi="Arial" w:cs="Arial"/>
                                        <w:color w:val="222222"/>
                                        <w:sz w:val="24"/>
                                        <w:szCs w:val="24"/>
                                      </w:rPr>
                                    </w:pPr>
                                    <w:r w:rsidRPr="004622CA">
                                      <w:rPr>
                                        <w:rFonts w:ascii="Arial" w:eastAsia="Calibri" w:hAnsi="Arial" w:cs="Arial"/>
                                        <w:color w:val="222222"/>
                                        <w:sz w:val="24"/>
                                        <w:szCs w:val="24"/>
                                      </w:rPr>
                                      <w:t xml:space="preserve">We understand this process represents a change in how you process appeals for OPH/PHP services. We are committed to helping you through this transition. If you have any questions, please email </w:t>
                                    </w:r>
                                    <w:hyperlink r:id="rId5" w:history="1">
                                      <w:r w:rsidRPr="004622CA">
                                        <w:rPr>
                                          <w:rFonts w:ascii="Arial" w:eastAsia="Calibri" w:hAnsi="Arial" w:cs="Arial"/>
                                          <w:color w:val="0083CA"/>
                                          <w:sz w:val="24"/>
                                          <w:szCs w:val="24"/>
                                          <w:bdr w:val="none" w:sz="0" w:space="0" w:color="auto" w:frame="1"/>
                                        </w:rPr>
                                        <w:t>Behprep@Cigna.com</w:t>
                                      </w:r>
                                    </w:hyperlink>
                                    <w:r w:rsidRPr="004622CA">
                                      <w:rPr>
                                        <w:rFonts w:ascii="Arial" w:eastAsia="Calibri" w:hAnsi="Arial" w:cs="Arial"/>
                                        <w:color w:val="222222"/>
                                        <w:sz w:val="24"/>
                                        <w:szCs w:val="24"/>
                                      </w:rPr>
                                      <w:t xml:space="preserve">, or call your Cigna Behavioral </w:t>
                                    </w:r>
                                    <w:hyperlink r:id="rId6" w:history="1">
                                      <w:r w:rsidRPr="004622CA">
                                        <w:rPr>
                                          <w:rFonts w:ascii="Arial" w:eastAsia="Calibri" w:hAnsi="Arial" w:cs="Arial"/>
                                          <w:color w:val="0083CA"/>
                                          <w:sz w:val="24"/>
                                          <w:szCs w:val="24"/>
                                          <w:bdr w:val="none" w:sz="0" w:space="0" w:color="auto" w:frame="1"/>
                                        </w:rPr>
                                        <w:t>Provider Relations Representative</w:t>
                                      </w:r>
                                    </w:hyperlink>
                                    <w:r w:rsidRPr="004622CA">
                                      <w:rPr>
                                        <w:rFonts w:ascii="Arial" w:eastAsia="Calibri" w:hAnsi="Arial" w:cs="Arial"/>
                                        <w:color w:val="222222"/>
                                        <w:sz w:val="24"/>
                                        <w:szCs w:val="24"/>
                                      </w:rPr>
                                      <w:t>.</w:t>
                                    </w:r>
                                  </w:p>
                                  <w:p w:rsidR="004622CA" w:rsidRPr="004622CA" w:rsidRDefault="004622CA" w:rsidP="004622CA">
                                    <w:pPr>
                                      <w:spacing w:after="150" w:line="240" w:lineRule="auto"/>
                                      <w:rPr>
                                        <w:rFonts w:ascii="Arial" w:eastAsia="Calibri" w:hAnsi="Arial" w:cs="Arial"/>
                                        <w:color w:val="222222"/>
                                        <w:sz w:val="24"/>
                                        <w:szCs w:val="24"/>
                                      </w:rPr>
                                    </w:pPr>
                                    <w:r w:rsidRPr="004622CA">
                                      <w:rPr>
                                        <w:rFonts w:ascii="Arial" w:eastAsia="Calibri" w:hAnsi="Arial" w:cs="Arial"/>
                                        <w:color w:val="222222"/>
                                        <w:sz w:val="24"/>
                                        <w:szCs w:val="24"/>
                                      </w:rPr>
                                      <w:t>We appreciate your ongoing support to meet the behavioral health care needs of our customers.</w:t>
                                    </w:r>
                                  </w:p>
                                  <w:p w:rsidR="004622CA" w:rsidRPr="004622CA" w:rsidRDefault="004622CA" w:rsidP="004622CA">
                                    <w:pPr>
                                      <w:spacing w:after="150" w:line="240" w:lineRule="auto"/>
                                      <w:rPr>
                                        <w:rFonts w:ascii="Arial" w:eastAsia="Calibri" w:hAnsi="Arial" w:cs="Arial"/>
                                        <w:color w:val="222222"/>
                                        <w:sz w:val="24"/>
                                        <w:szCs w:val="24"/>
                                      </w:rPr>
                                    </w:pPr>
                                    <w:r w:rsidRPr="004622CA">
                                      <w:rPr>
                                        <w:rFonts w:ascii="Arial" w:eastAsia="Calibri" w:hAnsi="Arial" w:cs="Arial"/>
                                        <w:color w:val="222222"/>
                                        <w:sz w:val="24"/>
                                        <w:szCs w:val="24"/>
                                      </w:rPr>
                                      <w:t>Sincerely,</w:t>
                                    </w:r>
                                  </w:p>
                                  <w:p w:rsidR="004622CA" w:rsidRPr="004622CA" w:rsidRDefault="004622CA" w:rsidP="004622CA">
                                    <w:pPr>
                                      <w:spacing w:after="150" w:line="240" w:lineRule="auto"/>
                                      <w:rPr>
                                        <w:rFonts w:ascii="Arial" w:eastAsia="Calibri" w:hAnsi="Arial" w:cs="Arial"/>
                                        <w:color w:val="222222"/>
                                        <w:sz w:val="24"/>
                                        <w:szCs w:val="24"/>
                                      </w:rPr>
                                    </w:pPr>
                                    <w:r w:rsidRPr="004622CA">
                                      <w:rPr>
                                        <w:rFonts w:ascii="Arial" w:eastAsia="Calibri" w:hAnsi="Arial" w:cs="Arial"/>
                                        <w:color w:val="222222"/>
                                        <w:sz w:val="24"/>
                                        <w:szCs w:val="24"/>
                                      </w:rPr>
                                      <w:t>Network Operations Management</w:t>
                                    </w:r>
                                    <w:r w:rsidRPr="004622CA">
                                      <w:rPr>
                                        <w:rFonts w:ascii="Arial" w:eastAsia="Calibri" w:hAnsi="Arial" w:cs="Arial"/>
                                        <w:color w:val="222222"/>
                                        <w:sz w:val="24"/>
                                        <w:szCs w:val="24"/>
                                      </w:rPr>
                                      <w:br/>
                                      <w:t>Cigna Behavioral Health</w:t>
                                    </w:r>
                                  </w:p>
                                </w:tc>
                                <w:tc>
                                  <w:tcPr>
                                    <w:tcW w:w="6" w:type="dxa"/>
                                    <w:hideMark/>
                                  </w:tcPr>
                                  <w:p w:rsidR="004622CA" w:rsidRPr="004622CA" w:rsidRDefault="004622CA" w:rsidP="004622CA">
                                    <w:pPr>
                                      <w:spacing w:after="0" w:line="240" w:lineRule="auto"/>
                                      <w:rPr>
                                        <w:rFonts w:ascii="Times New Roman" w:eastAsia="Calibri" w:hAnsi="Times New Roman" w:cs="Times New Roman"/>
                                        <w:sz w:val="24"/>
                                        <w:szCs w:val="24"/>
                                      </w:rPr>
                                    </w:pP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r w:rsidR="004622CA" w:rsidRPr="004622CA">
                          <w:tc>
                            <w:tcPr>
                              <w:tcW w:w="6" w:type="dxa"/>
                              <w:hideMark/>
                            </w:tcPr>
                            <w:p w:rsidR="004622CA" w:rsidRPr="004622CA" w:rsidRDefault="004622CA" w:rsidP="004622CA">
                              <w:pPr>
                                <w:spacing w:after="0" w:line="240" w:lineRule="auto"/>
                                <w:rPr>
                                  <w:rFonts w:ascii="Times New Roman" w:eastAsia="Times New Roman" w:hAnsi="Times New Roman" w:cs="Times New Roman"/>
                                  <w:sz w:val="20"/>
                                  <w:szCs w:val="20"/>
                                </w:rPr>
                              </w:pP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r w:rsidR="004622CA" w:rsidRPr="004622C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06"/>
                  </w:tblGrid>
                  <w:tr w:rsidR="004622CA" w:rsidRPr="004622CA">
                    <w:tc>
                      <w:tcPr>
                        <w:tcW w:w="0" w:type="auto"/>
                        <w:hideMark/>
                      </w:tcPr>
                      <w:tbl>
                        <w:tblPr>
                          <w:tblW w:w="8700" w:type="dxa"/>
                          <w:tblCellMar>
                            <w:left w:w="0" w:type="dxa"/>
                            <w:right w:w="0" w:type="dxa"/>
                          </w:tblCellMar>
                          <w:tblLook w:val="04A0" w:firstRow="1" w:lastRow="0" w:firstColumn="1" w:lastColumn="0" w:noHBand="0" w:noVBand="1"/>
                        </w:tblPr>
                        <w:tblGrid>
                          <w:gridCol w:w="8700"/>
                        </w:tblGrid>
                        <w:tr w:rsidR="004622CA" w:rsidRPr="004622CA">
                          <w:tc>
                            <w:tcPr>
                              <w:tcW w:w="0" w:type="auto"/>
                              <w:hideMark/>
                            </w:tcPr>
                            <w:p w:rsidR="004622CA" w:rsidRPr="004622CA" w:rsidRDefault="004622CA" w:rsidP="004622CA">
                              <w:pPr>
                                <w:spacing w:after="0" w:line="240" w:lineRule="auto"/>
                                <w:rPr>
                                  <w:rFonts w:ascii="Times New Roman" w:eastAsia="Times New Roman" w:hAnsi="Times New Roman" w:cs="Times New Roman"/>
                                  <w:sz w:val="20"/>
                                  <w:szCs w:val="20"/>
                                </w:rPr>
                              </w:pP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r w:rsidR="004622CA" w:rsidRPr="004622C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06"/>
                  </w:tblGrid>
                  <w:tr w:rsidR="004622CA" w:rsidRPr="004622CA">
                    <w:tc>
                      <w:tcPr>
                        <w:tcW w:w="0" w:type="auto"/>
                        <w:hideMark/>
                      </w:tcPr>
                      <w:tbl>
                        <w:tblPr>
                          <w:tblW w:w="8700" w:type="dxa"/>
                          <w:tblCellMar>
                            <w:left w:w="0" w:type="dxa"/>
                            <w:right w:w="0" w:type="dxa"/>
                          </w:tblCellMar>
                          <w:tblLook w:val="04A0" w:firstRow="1" w:lastRow="0" w:firstColumn="1" w:lastColumn="0" w:noHBand="0" w:noVBand="1"/>
                        </w:tblPr>
                        <w:tblGrid>
                          <w:gridCol w:w="8700"/>
                        </w:tblGrid>
                        <w:tr w:rsidR="004622CA" w:rsidRPr="004622CA">
                          <w:tc>
                            <w:tcPr>
                              <w:tcW w:w="0" w:type="auto"/>
                              <w:tcMar>
                                <w:top w:w="0" w:type="dxa"/>
                                <w:left w:w="450" w:type="dxa"/>
                                <w:bottom w:w="300" w:type="dxa"/>
                                <w:right w:w="450" w:type="dxa"/>
                              </w:tcMar>
                              <w:hideMark/>
                            </w:tcPr>
                            <w:tbl>
                              <w:tblPr>
                                <w:tblW w:w="5000" w:type="pct"/>
                                <w:tblCellMar>
                                  <w:left w:w="0" w:type="dxa"/>
                                  <w:right w:w="0" w:type="dxa"/>
                                </w:tblCellMar>
                                <w:tblLook w:val="04A0" w:firstRow="1" w:lastRow="0" w:firstColumn="1" w:lastColumn="0" w:noHBand="0" w:noVBand="1"/>
                              </w:tblPr>
                              <w:tblGrid>
                                <w:gridCol w:w="7800"/>
                              </w:tblGrid>
                              <w:tr w:rsidR="004622CA" w:rsidRPr="004622CA">
                                <w:tc>
                                  <w:tcPr>
                                    <w:tcW w:w="0" w:type="auto"/>
                                    <w:hideMark/>
                                  </w:tcPr>
                                  <w:p w:rsidR="004622CA" w:rsidRPr="004622CA" w:rsidRDefault="004622CA" w:rsidP="004622CA">
                                    <w:pPr>
                                      <w:spacing w:after="0" w:line="240" w:lineRule="auto"/>
                                      <w:rPr>
                                        <w:rFonts w:ascii="Times New Roman" w:eastAsia="Times New Roman" w:hAnsi="Times New Roman" w:cs="Times New Roman"/>
                                        <w:sz w:val="20"/>
                                        <w:szCs w:val="20"/>
                                      </w:rPr>
                                    </w:pPr>
                                  </w:p>
                                </w:tc>
                              </w:tr>
                            </w:tbl>
                            <w:p w:rsidR="004622CA" w:rsidRPr="004622CA" w:rsidRDefault="004622CA" w:rsidP="004622CA">
                              <w:pPr>
                                <w:spacing w:after="0" w:line="225" w:lineRule="atLeast"/>
                                <w:rPr>
                                  <w:rFonts w:ascii="Arial" w:eastAsia="Times New Roman" w:hAnsi="Arial" w:cs="Arial"/>
                                  <w:color w:val="6D6E71"/>
                                  <w:sz w:val="17"/>
                                  <w:szCs w:val="17"/>
                                </w:rPr>
                              </w:pPr>
                              <w:r w:rsidRPr="004622CA">
                                <w:rPr>
                                  <w:rFonts w:ascii="Arial" w:eastAsia="Times New Roman" w:hAnsi="Arial" w:cs="Arial"/>
                                  <w:color w:val="6D6E71"/>
                                  <w:sz w:val="17"/>
                                  <w:szCs w:val="17"/>
                                </w:rPr>
                                <w:t xml:space="preserve">* Connecticut, Vermont, and Rhode Island require the option of telephonic reviews for OPH/PHP services. </w:t>
                              </w:r>
                              <w:r w:rsidRPr="004622CA">
                                <w:rPr>
                                  <w:rFonts w:ascii="Arial" w:eastAsia="Times New Roman" w:hAnsi="Arial" w:cs="Arial"/>
                                  <w:color w:val="6D6E71"/>
                                  <w:sz w:val="17"/>
                                  <w:szCs w:val="17"/>
                                </w:rPr>
                                <w:br/>
                              </w:r>
                              <w:r w:rsidRPr="004622CA">
                                <w:rPr>
                                  <w:rFonts w:ascii="Arial" w:eastAsia="Times New Roman" w:hAnsi="Arial" w:cs="Arial"/>
                                  <w:color w:val="6D6E71"/>
                                  <w:sz w:val="17"/>
                                  <w:szCs w:val="17"/>
                                </w:rPr>
                                <w:br/>
                                <w:t>All Cigna products and services are provided exclusively by or through operating subsidiaries of Cigna Corporation, including Cigna Health and Life Insurance Company, Connecticut General Life Insurance Company, Cigna Behavioral Health, Inc., and HMO or service company subsidiaries of Cigna Health Corporation. The Cigna name, logo, and other Cigna marks are owned by Cigna Intellectual Property, Inc.</w:t>
                              </w:r>
                              <w:r w:rsidRPr="004622CA">
                                <w:rPr>
                                  <w:rFonts w:ascii="Arial" w:eastAsia="Times New Roman" w:hAnsi="Arial" w:cs="Arial"/>
                                  <w:color w:val="6D6E71"/>
                                  <w:sz w:val="17"/>
                                  <w:szCs w:val="17"/>
                                </w:rPr>
                                <w:br/>
                              </w:r>
                              <w:r w:rsidRPr="004622CA">
                                <w:rPr>
                                  <w:rFonts w:ascii="Arial" w:eastAsia="Times New Roman" w:hAnsi="Arial" w:cs="Arial"/>
                                  <w:color w:val="6D6E71"/>
                                  <w:sz w:val="17"/>
                                  <w:szCs w:val="17"/>
                                </w:rPr>
                                <w:br/>
                                <w:t>PCOMM-2020-514 © 2020 Cigna. Some content provided under license.</w:t>
                              </w: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bl>
                <w:p w:rsidR="004622CA" w:rsidRPr="004622CA" w:rsidRDefault="004622CA" w:rsidP="004622CA">
                  <w:pPr>
                    <w:spacing w:after="0" w:line="240" w:lineRule="auto"/>
                    <w:rPr>
                      <w:rFonts w:ascii="Times New Roman" w:eastAsia="Times New Roman" w:hAnsi="Times New Roman" w:cs="Times New Roman"/>
                      <w:sz w:val="20"/>
                      <w:szCs w:val="20"/>
                    </w:rPr>
                  </w:pPr>
                </w:p>
              </w:tc>
            </w:tr>
          </w:tbl>
          <w:p w:rsidR="004622CA" w:rsidRPr="004622CA" w:rsidRDefault="004622CA" w:rsidP="004622CA">
            <w:pPr>
              <w:spacing w:after="0" w:line="240" w:lineRule="auto"/>
              <w:jc w:val="center"/>
              <w:rPr>
                <w:rFonts w:ascii="Times New Roman" w:eastAsia="Times New Roman" w:hAnsi="Times New Roman" w:cs="Times New Roman"/>
                <w:sz w:val="20"/>
                <w:szCs w:val="20"/>
              </w:rPr>
            </w:pPr>
          </w:p>
        </w:tc>
      </w:tr>
    </w:tbl>
    <w:p w:rsidR="00EC769F" w:rsidRDefault="00EC769F">
      <w:bookmarkStart w:id="0" w:name="_GoBack"/>
      <w:bookmarkEnd w:id="0"/>
    </w:p>
    <w:sectPr w:rsidR="00EC7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CA"/>
    <w:rsid w:val="004622CA"/>
    <w:rsid w:val="00EC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7D5E3-5D81-4408-BD8E-4ADF4A33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waymail.com_maximail_link.htm-3Ftrlnkid-3D148441A93341A182123751&amp;d=DwMCaQ&amp;c=xn8flH6DOXBk6JKHH02eLJq194X6KF7E4brKNzAQIFY&amp;r=_cnKA8bxU5E8JC0Ey4kgoKiT6j7mot8S4lNsEDAh-No&amp;m=SmgbgROLTvDBl6xzqhdvceEqQDdUFNxWmv5oEADtClo&amp;s=7cVZs5xw8ML5RvQi7pXGhwXQRsNXf4UOFM47jI-S4sc&amp;e=" TargetMode="External"/><Relationship Id="rId5" Type="http://schemas.openxmlformats.org/officeDocument/2006/relationships/hyperlink" Target="mailto:behprep@cigna.com" TargetMode="External"/><Relationship Id="rId4" Type="http://schemas.openxmlformats.org/officeDocument/2006/relationships/image" Target="https://www.waymail.com/maximail/img/80924_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2020-10-07T15:55:00Z</dcterms:created>
  <dcterms:modified xsi:type="dcterms:W3CDTF">2020-10-07T15:55:00Z</dcterms:modified>
</cp:coreProperties>
</file>