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9F" w:rsidRDefault="00753729">
      <w:r>
        <w:t>Cigna Communication Update 06/15/2020</w:t>
      </w:r>
    </w:p>
    <w:p w:rsidR="00753729" w:rsidRPr="00753729" w:rsidRDefault="00753729" w:rsidP="00753729">
      <w:pPr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sz w:val="24"/>
          <w:szCs w:val="24"/>
        </w:rPr>
      </w:pPr>
      <w:r w:rsidRPr="00753729">
        <w:rPr>
          <w:rFonts w:ascii="sourceSansPro" w:eastAsia="Times New Roman" w:hAnsi="sourceSansPro" w:cs="Times New Roman"/>
          <w:b/>
          <w:bCs/>
          <w:sz w:val="28"/>
          <w:szCs w:val="28"/>
        </w:rPr>
        <w:t xml:space="preserve">Reimbursement policy update – Pulse oximetry effective September 13, 2020 </w:t>
      </w:r>
      <w:r w:rsidRPr="00753729">
        <w:rPr>
          <w:rFonts w:ascii="sourceSansPro" w:eastAsia="Times New Roman" w:hAnsi="sourceSansPro" w:cs="Times New Roman"/>
          <w:b/>
          <w:bCs/>
          <w:color w:val="FF0000"/>
          <w:sz w:val="28"/>
          <w:szCs w:val="28"/>
        </w:rPr>
        <w:t> </w:t>
      </w:r>
    </w:p>
    <w:p w:rsidR="00753729" w:rsidRPr="00753729" w:rsidRDefault="00753729" w:rsidP="00753729">
      <w:pPr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sz w:val="24"/>
          <w:szCs w:val="24"/>
        </w:rPr>
      </w:pPr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Effective for claims processed on or after September 13, 2020, we will deny separate reimbursement for pulse oximetry services when billed alone or with additional codes. </w:t>
      </w:r>
    </w:p>
    <w:p w:rsidR="00753729" w:rsidRPr="00753729" w:rsidRDefault="00753729" w:rsidP="00753729">
      <w:pPr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sz w:val="24"/>
          <w:szCs w:val="24"/>
        </w:rPr>
      </w:pPr>
      <w:r w:rsidRPr="00753729">
        <w:rPr>
          <w:rFonts w:ascii="sourceSansPro" w:eastAsia="Times New Roman" w:hAnsi="sourceSansPro" w:cs="Times New Roman"/>
          <w:sz w:val="24"/>
          <w:szCs w:val="24"/>
        </w:rPr>
        <w:t>The affected Current Procedural Terminology® (CPT) codes 94760, 94761, and 94762, are considered incidental to the primary service(s) provided. A modifier will not override the denial. We will update the Omnibus Reimbursement Policy (R24) to reflect the change.</w:t>
      </w:r>
    </w:p>
    <w:p w:rsidR="00753729" w:rsidRPr="00753729" w:rsidRDefault="00753729" w:rsidP="00753729">
      <w:pPr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sz w:val="24"/>
          <w:szCs w:val="24"/>
        </w:rPr>
      </w:pPr>
      <w:r w:rsidRPr="00753729">
        <w:rPr>
          <w:rFonts w:ascii="sourceSansPro" w:eastAsia="Times New Roman" w:hAnsi="sourceSansPro" w:cs="Times New Roman"/>
          <w:sz w:val="24"/>
          <w:szCs w:val="24"/>
        </w:rPr>
        <w:t> </w:t>
      </w:r>
    </w:p>
    <w:p w:rsidR="00753729" w:rsidRPr="00753729" w:rsidRDefault="00753729" w:rsidP="00753729">
      <w:pPr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sz w:val="24"/>
          <w:szCs w:val="24"/>
        </w:rPr>
      </w:pPr>
      <w:r w:rsidRPr="00753729">
        <w:rPr>
          <w:rFonts w:ascii="sourceSansPro" w:eastAsia="Times New Roman" w:hAnsi="sourceSansPro" w:cs="Times New Roman"/>
          <w:sz w:val="24"/>
          <w:szCs w:val="24"/>
        </w:rPr>
        <w:t>Information will also be included in the Q3 issue of Network News, and will be available on the Cigna for Health Care Professionals website (</w:t>
      </w:r>
      <w:proofErr w:type="spellStart"/>
      <w:r w:rsidRPr="00753729">
        <w:rPr>
          <w:rFonts w:ascii="sourceSansPro" w:eastAsia="Times New Roman" w:hAnsi="sourceSansPro" w:cs="Times New Roman"/>
          <w:sz w:val="24"/>
          <w:szCs w:val="24"/>
        </w:rPr>
        <w:t>CignaforHCP</w:t>
      </w:r>
      <w:proofErr w:type="spellEnd"/>
      <w:r w:rsidRPr="00753729">
        <w:rPr>
          <w:rFonts w:ascii="sourceSansPro" w:eastAsia="Times New Roman" w:hAnsi="sourceSansPro" w:cs="Times New Roman"/>
          <w:sz w:val="24"/>
          <w:szCs w:val="24"/>
        </w:rPr>
        <w:t>).</w:t>
      </w:r>
      <w:r w:rsidRPr="00753729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753729" w:rsidRPr="00753729" w:rsidRDefault="00753729" w:rsidP="00753729">
      <w:pPr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sz w:val="24"/>
          <w:szCs w:val="24"/>
        </w:rPr>
      </w:pPr>
      <w:r w:rsidRPr="00753729">
        <w:rPr>
          <w:rFonts w:ascii="sourceSansPro" w:eastAsia="Times New Roman" w:hAnsi="sourceSansPro" w:cs="Times New Roman"/>
          <w:b/>
          <w:bCs/>
          <w:sz w:val="28"/>
          <w:szCs w:val="28"/>
        </w:rPr>
        <w:t xml:space="preserve">Specialty home infusion services – transition to </w:t>
      </w:r>
      <w:proofErr w:type="spellStart"/>
      <w:r w:rsidRPr="00753729">
        <w:rPr>
          <w:rFonts w:ascii="sourceSansPro" w:eastAsia="Times New Roman" w:hAnsi="sourceSansPro" w:cs="Times New Roman"/>
          <w:b/>
          <w:bCs/>
          <w:sz w:val="28"/>
          <w:szCs w:val="28"/>
        </w:rPr>
        <w:t>Accredo</w:t>
      </w:r>
      <w:proofErr w:type="spellEnd"/>
      <w:r w:rsidRPr="00753729">
        <w:rPr>
          <w:rFonts w:ascii="sourceSansPro" w:eastAsia="Times New Roman" w:hAnsi="sourceSansPro" w:cs="Times New Roman"/>
          <w:b/>
          <w:bCs/>
          <w:sz w:val="28"/>
          <w:szCs w:val="28"/>
        </w:rPr>
        <w:t xml:space="preserve">  </w:t>
      </w:r>
    </w:p>
    <w:p w:rsidR="00753729" w:rsidRPr="00753729" w:rsidRDefault="00753729" w:rsidP="00753729">
      <w:pPr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sz w:val="24"/>
          <w:szCs w:val="24"/>
        </w:rPr>
      </w:pPr>
      <w:r w:rsidRPr="00753729">
        <w:rPr>
          <w:rFonts w:ascii="sourceSansPro" w:eastAsia="Times New Roman" w:hAnsi="sourceSansPro" w:cs="Times New Roman"/>
          <w:sz w:val="24"/>
          <w:szCs w:val="24"/>
        </w:rPr>
        <w:t>Effective February 1, 2021, </w:t>
      </w:r>
      <w:proofErr w:type="spellStart"/>
      <w:r w:rsidRPr="00753729">
        <w:rPr>
          <w:rFonts w:ascii="sourceSansPro" w:eastAsia="Times New Roman" w:hAnsi="sourceSansPro" w:cs="Times New Roman"/>
          <w:sz w:val="24"/>
          <w:szCs w:val="24"/>
        </w:rPr>
        <w:t>Accredo</w:t>
      </w:r>
      <w:proofErr w:type="spellEnd"/>
      <w:r w:rsidRPr="00753729">
        <w:rPr>
          <w:rFonts w:ascii="sourceSansPro" w:eastAsia="Times New Roman" w:hAnsi="sourceSansPro" w:cs="Times New Roman"/>
          <w:sz w:val="24"/>
          <w:szCs w:val="24"/>
        </w:rPr>
        <w:t>, a Cigna specialty pharmacy, will become our preferred provider for most specialty home infusion therapy services. </w:t>
      </w:r>
    </w:p>
    <w:p w:rsidR="00753729" w:rsidRPr="00753729" w:rsidRDefault="00753729" w:rsidP="00753729">
      <w:pPr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sz w:val="24"/>
          <w:szCs w:val="24"/>
        </w:rPr>
      </w:pPr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In June 2020, we will begin contacting customers who receive specialty home infusion nursing services through </w:t>
      </w:r>
      <w:proofErr w:type="spellStart"/>
      <w:r w:rsidRPr="00753729">
        <w:rPr>
          <w:rFonts w:ascii="sourceSansPro" w:eastAsia="Times New Roman" w:hAnsi="sourceSansPro" w:cs="Times New Roman"/>
          <w:sz w:val="24"/>
          <w:szCs w:val="24"/>
        </w:rPr>
        <w:t>CareCentrix</w:t>
      </w:r>
      <w:proofErr w:type="spellEnd"/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 to encourage them to transition to </w:t>
      </w:r>
      <w:proofErr w:type="spellStart"/>
      <w:r w:rsidRPr="00753729">
        <w:rPr>
          <w:rFonts w:ascii="sourceSansPro" w:eastAsia="Times New Roman" w:hAnsi="sourceSansPro" w:cs="Times New Roman"/>
          <w:sz w:val="24"/>
          <w:szCs w:val="24"/>
        </w:rPr>
        <w:t>Accredo</w:t>
      </w:r>
      <w:proofErr w:type="spellEnd"/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 for specialty medications and infusion services. If they agree, we will then reach out to the prescribing provider to coordinate the referral to </w:t>
      </w:r>
      <w:proofErr w:type="spellStart"/>
      <w:r w:rsidRPr="00753729">
        <w:rPr>
          <w:rFonts w:ascii="sourceSansPro" w:eastAsia="Times New Roman" w:hAnsi="sourceSansPro" w:cs="Times New Roman"/>
          <w:sz w:val="24"/>
          <w:szCs w:val="24"/>
        </w:rPr>
        <w:t>Accredo</w:t>
      </w:r>
      <w:proofErr w:type="spellEnd"/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. If a customer does not transition to </w:t>
      </w:r>
      <w:proofErr w:type="spellStart"/>
      <w:r w:rsidRPr="00753729">
        <w:rPr>
          <w:rFonts w:ascii="sourceSansPro" w:eastAsia="Times New Roman" w:hAnsi="sourceSansPro" w:cs="Times New Roman"/>
          <w:sz w:val="24"/>
          <w:szCs w:val="24"/>
        </w:rPr>
        <w:t>Accredo</w:t>
      </w:r>
      <w:proofErr w:type="spellEnd"/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 by February 1, 2021, they may incur out-of-network charges.</w:t>
      </w:r>
      <w:r w:rsidRPr="00753729">
        <w:rPr>
          <w:rFonts w:ascii="Comic Sans MS" w:eastAsia="Times New Roman" w:hAnsi="Comic Sans MS" w:cs="Times New Roman"/>
          <w:sz w:val="24"/>
          <w:szCs w:val="24"/>
        </w:rPr>
        <w:t> </w:t>
      </w:r>
    </w:p>
    <w:p w:rsidR="00753729" w:rsidRPr="00753729" w:rsidRDefault="00753729" w:rsidP="00753729">
      <w:pPr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sz w:val="24"/>
          <w:szCs w:val="24"/>
        </w:rPr>
      </w:pPr>
      <w:r w:rsidRPr="00753729">
        <w:rPr>
          <w:rFonts w:ascii="sourceSansPro" w:eastAsia="Times New Roman" w:hAnsi="sourceSansPro" w:cs="Times New Roman"/>
          <w:b/>
          <w:bCs/>
          <w:sz w:val="28"/>
          <w:szCs w:val="28"/>
        </w:rPr>
        <w:t xml:space="preserve">Specialty Medical </w:t>
      </w:r>
      <w:proofErr w:type="spellStart"/>
      <w:r w:rsidRPr="00753729">
        <w:rPr>
          <w:rFonts w:ascii="sourceSansPro" w:eastAsia="Times New Roman" w:hAnsi="sourceSansPro" w:cs="Times New Roman"/>
          <w:b/>
          <w:bCs/>
          <w:sz w:val="28"/>
          <w:szCs w:val="28"/>
        </w:rPr>
        <w:t>Injectables</w:t>
      </w:r>
      <w:proofErr w:type="spellEnd"/>
      <w:r w:rsidRPr="00753729">
        <w:rPr>
          <w:rFonts w:ascii="sourceSansPro" w:eastAsia="Times New Roman" w:hAnsi="sourceSansPro" w:cs="Times New Roman"/>
          <w:b/>
          <w:bCs/>
          <w:sz w:val="28"/>
          <w:szCs w:val="28"/>
        </w:rPr>
        <w:t xml:space="preserve"> with Reimbursement Restriction  </w:t>
      </w:r>
    </w:p>
    <w:p w:rsidR="00753729" w:rsidRPr="00753729" w:rsidRDefault="00753729" w:rsidP="00753729">
      <w:pPr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sz w:val="24"/>
          <w:szCs w:val="24"/>
        </w:rPr>
      </w:pPr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For new prior authorizations obtained on or after September 1, 2020, we will expand the Specialty Medical </w:t>
      </w:r>
      <w:proofErr w:type="spellStart"/>
      <w:r w:rsidRPr="00753729">
        <w:rPr>
          <w:rFonts w:ascii="sourceSansPro" w:eastAsia="Times New Roman" w:hAnsi="sourceSansPro" w:cs="Times New Roman"/>
          <w:sz w:val="24"/>
          <w:szCs w:val="24"/>
        </w:rPr>
        <w:t>Injectables</w:t>
      </w:r>
      <w:proofErr w:type="spellEnd"/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 with Reimbursement Restriction list to include additional specialty medical </w:t>
      </w:r>
      <w:proofErr w:type="spellStart"/>
      <w:r w:rsidRPr="00753729">
        <w:rPr>
          <w:rFonts w:ascii="sourceSansPro" w:eastAsia="Times New Roman" w:hAnsi="sourceSansPro" w:cs="Times New Roman"/>
          <w:sz w:val="24"/>
          <w:szCs w:val="24"/>
        </w:rPr>
        <w:t>injectables</w:t>
      </w:r>
      <w:proofErr w:type="spellEnd"/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. We will no longer reimburse facilities directly for the </w:t>
      </w:r>
      <w:proofErr w:type="spellStart"/>
      <w:r w:rsidRPr="00753729">
        <w:rPr>
          <w:rFonts w:ascii="sourceSansPro" w:eastAsia="Times New Roman" w:hAnsi="sourceSansPro" w:cs="Times New Roman"/>
          <w:sz w:val="24"/>
          <w:szCs w:val="24"/>
        </w:rPr>
        <w:t>injectables</w:t>
      </w:r>
      <w:proofErr w:type="spellEnd"/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 included on this list. As a result, facilities cannot bill patients with Cigna-administered coverage for the cost of these </w:t>
      </w:r>
      <w:proofErr w:type="spellStart"/>
      <w:r w:rsidRPr="00753729">
        <w:rPr>
          <w:rFonts w:ascii="sourceSansPro" w:eastAsia="Times New Roman" w:hAnsi="sourceSansPro" w:cs="Times New Roman"/>
          <w:sz w:val="24"/>
          <w:szCs w:val="24"/>
        </w:rPr>
        <w:t>injectables</w:t>
      </w:r>
      <w:proofErr w:type="spellEnd"/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 when they are not obtained from a pharmacy in the Cigna network. Please note that this list only applies to providers reimbursed based upon a hospital fee schedule; it does not apply to physician fee schedules. </w:t>
      </w:r>
    </w:p>
    <w:p w:rsidR="00753729" w:rsidRPr="00753729" w:rsidRDefault="00753729" w:rsidP="00753729">
      <w:pPr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sz w:val="24"/>
          <w:szCs w:val="24"/>
        </w:rPr>
      </w:pPr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The updated Specialty Medical </w:t>
      </w:r>
      <w:proofErr w:type="spellStart"/>
      <w:r w:rsidRPr="00753729">
        <w:rPr>
          <w:rFonts w:ascii="sourceSansPro" w:eastAsia="Times New Roman" w:hAnsi="sourceSansPro" w:cs="Times New Roman"/>
          <w:sz w:val="24"/>
          <w:szCs w:val="24"/>
        </w:rPr>
        <w:t>Injectables</w:t>
      </w:r>
      <w:proofErr w:type="spellEnd"/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 with Reimbursement Restriction list is available on the Cigna for Health Care Professionals website (CignaforHCP.com &gt; Resources &gt; Reimbursement Policies and Payment Policies&gt; Precertification Policies &gt; Specialty Medical </w:t>
      </w:r>
      <w:proofErr w:type="spellStart"/>
      <w:r w:rsidRPr="00753729">
        <w:rPr>
          <w:rFonts w:ascii="sourceSansPro" w:eastAsia="Times New Roman" w:hAnsi="sourceSansPro" w:cs="Times New Roman"/>
          <w:sz w:val="24"/>
          <w:szCs w:val="24"/>
        </w:rPr>
        <w:t>Injectables</w:t>
      </w:r>
      <w:proofErr w:type="spellEnd"/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 with Reimbursement Restriction. Providers m</w:t>
      </w:r>
      <w:r>
        <w:rPr>
          <w:rFonts w:ascii="sourceSansPro" w:eastAsia="Times New Roman" w:hAnsi="sourceSansPro" w:cs="Times New Roman"/>
          <w:sz w:val="24"/>
          <w:szCs w:val="24"/>
        </w:rPr>
        <w:t>ust log in to access this list</w:t>
      </w:r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). We recommend you review this list frequently as it is subject to change. Specialty medical </w:t>
      </w:r>
      <w:proofErr w:type="spellStart"/>
      <w:r w:rsidRPr="00753729">
        <w:rPr>
          <w:rFonts w:ascii="sourceSansPro" w:eastAsia="Times New Roman" w:hAnsi="sourceSansPro" w:cs="Times New Roman"/>
          <w:sz w:val="24"/>
          <w:szCs w:val="24"/>
        </w:rPr>
        <w:t>injectables</w:t>
      </w:r>
      <w:proofErr w:type="spellEnd"/>
      <w:r w:rsidRPr="00753729">
        <w:rPr>
          <w:rFonts w:ascii="sourceSansPro" w:eastAsia="Times New Roman" w:hAnsi="sourceSansPro" w:cs="Times New Roman"/>
          <w:sz w:val="24"/>
          <w:szCs w:val="24"/>
        </w:rPr>
        <w:t xml:space="preserve"> may be added upon U.S. Food and Drug Administration (FDA) approval.  </w:t>
      </w:r>
      <w:bookmarkStart w:id="0" w:name="_GoBack"/>
      <w:bookmarkEnd w:id="0"/>
    </w:p>
    <w:p w:rsidR="00753729" w:rsidRPr="00753729" w:rsidRDefault="00753729" w:rsidP="00753729">
      <w:pPr>
        <w:spacing w:before="100" w:beforeAutospacing="1" w:after="100" w:afterAutospacing="1" w:line="240" w:lineRule="auto"/>
        <w:rPr>
          <w:rFonts w:ascii="sourceSansPro" w:eastAsia="Times New Roman" w:hAnsi="sourceSansPro" w:cs="Times New Roman"/>
          <w:sz w:val="24"/>
          <w:szCs w:val="24"/>
        </w:rPr>
      </w:pPr>
      <w:r w:rsidRPr="00753729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753729" w:rsidRDefault="00753729" w:rsidP="00753729">
      <w:r w:rsidRPr="00753729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sectPr w:rsidR="0075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29"/>
    <w:rsid w:val="00753729"/>
    <w:rsid w:val="00D7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3966"/>
  <w15:chartTrackingRefBased/>
  <w15:docId w15:val="{9E43FE31-2DB9-46FD-BC2E-C1A48333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Company>Med Center Health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Racel, Lori L</dc:creator>
  <cp:keywords/>
  <dc:description/>
  <cp:lastModifiedBy>Racel, Lori L</cp:lastModifiedBy>
  <cp:revision>1</cp:revision>
  <dcterms:created xsi:type="dcterms:W3CDTF">2020-06-15T18:47:00Z</dcterms:created>
  <dcterms:modified xsi:type="dcterms:W3CDTF">2020-06-15T18:49:00Z</dcterms:modified>
</cp:coreProperties>
</file>