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jc w:val="center"/>
        <w:tblCellSpacing w:w="0" w:type="dxa"/>
        <w:tblCellMar>
          <w:left w:w="0" w:type="dxa"/>
          <w:right w:w="0" w:type="dxa"/>
        </w:tblCellMar>
        <w:tblLook w:val="04A0" w:firstRow="1" w:lastRow="0" w:firstColumn="1" w:lastColumn="0" w:noHBand="0" w:noVBand="1"/>
      </w:tblPr>
      <w:tblGrid>
        <w:gridCol w:w="15"/>
        <w:gridCol w:w="9331"/>
        <w:gridCol w:w="14"/>
      </w:tblGrid>
      <w:tr w:rsidR="0034762A" w:rsidRPr="0034762A" w:rsidTr="0034762A">
        <w:trPr>
          <w:tblCellSpacing w:w="0" w:type="dxa"/>
          <w:jc w:val="center"/>
        </w:trPr>
        <w:tc>
          <w:tcPr>
            <w:tcW w:w="0" w:type="auto"/>
            <w:gridSpan w:val="3"/>
            <w:hideMark/>
          </w:tcPr>
          <w:p w:rsidR="0034762A" w:rsidRPr="0034762A" w:rsidRDefault="0034762A" w:rsidP="0034762A">
            <w:r w:rsidRPr="0034762A">
              <w:drawing>
                <wp:inline distT="0" distB="0" distL="0" distR="0">
                  <wp:extent cx="5715000" cy="1628775"/>
                  <wp:effectExtent l="0" t="0" r="0" b="9525"/>
                  <wp:docPr id="2" name="Picture 2" descr="Transform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formations"/>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1628775"/>
                          </a:xfrm>
                          <a:prstGeom prst="rect">
                            <a:avLst/>
                          </a:prstGeom>
                          <a:noFill/>
                          <a:ln>
                            <a:noFill/>
                          </a:ln>
                        </pic:spPr>
                      </pic:pic>
                    </a:graphicData>
                  </a:graphic>
                </wp:inline>
              </w:drawing>
            </w:r>
          </w:p>
        </w:tc>
      </w:tr>
      <w:tr w:rsidR="0034762A" w:rsidRPr="0034762A" w:rsidTr="0034762A">
        <w:trPr>
          <w:tblCellSpacing w:w="0" w:type="dxa"/>
          <w:jc w:val="center"/>
        </w:trPr>
        <w:tc>
          <w:tcPr>
            <w:tcW w:w="360" w:type="dxa"/>
            <w:shd w:val="clear" w:color="auto" w:fill="FFFFFF"/>
            <w:tcMar>
              <w:top w:w="300" w:type="dxa"/>
              <w:left w:w="0" w:type="dxa"/>
              <w:bottom w:w="0" w:type="dxa"/>
              <w:right w:w="0" w:type="dxa"/>
            </w:tcMar>
            <w:vAlign w:val="center"/>
            <w:hideMark/>
          </w:tcPr>
          <w:p w:rsidR="0034762A" w:rsidRPr="0034762A" w:rsidRDefault="0034762A" w:rsidP="0034762A">
            <w:r w:rsidRPr="0034762A">
              <w:t> </w:t>
            </w:r>
          </w:p>
        </w:tc>
        <w:tc>
          <w:tcPr>
            <w:tcW w:w="8310" w:type="dxa"/>
            <w:shd w:val="clear" w:color="auto" w:fill="FFFFFF"/>
            <w:tcMar>
              <w:top w:w="300" w:type="dxa"/>
              <w:left w:w="75" w:type="dxa"/>
              <w:bottom w:w="150" w:type="dxa"/>
              <w:right w:w="75" w:type="dxa"/>
            </w:tcMar>
            <w:hideMark/>
          </w:tcPr>
          <w:tbl>
            <w:tblPr>
              <w:tblW w:w="5000" w:type="pct"/>
              <w:tblCellSpacing w:w="0" w:type="dxa"/>
              <w:tblCellMar>
                <w:left w:w="0" w:type="dxa"/>
                <w:right w:w="0" w:type="dxa"/>
              </w:tblCellMar>
              <w:tblLook w:val="04A0" w:firstRow="1" w:lastRow="0" w:firstColumn="1" w:lastColumn="0" w:noHBand="0" w:noVBand="1"/>
            </w:tblPr>
            <w:tblGrid>
              <w:gridCol w:w="150"/>
              <w:gridCol w:w="9031"/>
            </w:tblGrid>
            <w:tr w:rsidR="0034762A" w:rsidRPr="0034762A">
              <w:trPr>
                <w:trHeight w:val="750"/>
                <w:tblCellSpacing w:w="0" w:type="dxa"/>
              </w:trPr>
              <w:tc>
                <w:tcPr>
                  <w:tcW w:w="150" w:type="dxa"/>
                  <w:shd w:val="clear" w:color="auto" w:fill="E35205"/>
                  <w:vAlign w:val="center"/>
                  <w:hideMark/>
                </w:tcPr>
                <w:p w:rsidR="0034762A" w:rsidRPr="0034762A" w:rsidRDefault="0034762A" w:rsidP="0034762A">
                  <w:r w:rsidRPr="0034762A">
                    <w:t> </w:t>
                  </w:r>
                </w:p>
              </w:tc>
              <w:tc>
                <w:tcPr>
                  <w:tcW w:w="0" w:type="auto"/>
                  <w:shd w:val="clear" w:color="auto" w:fill="E35205"/>
                  <w:vAlign w:val="center"/>
                  <w:hideMark/>
                </w:tcPr>
                <w:p w:rsidR="0034762A" w:rsidRPr="0034762A" w:rsidRDefault="0034762A" w:rsidP="0034762A">
                  <w:r w:rsidRPr="0034762A">
                    <w:rPr>
                      <w:b/>
                      <w:bCs/>
                    </w:rPr>
                    <w:t>WELCOME TO THE JULY 2020 ISSUE</w:t>
                  </w:r>
                </w:p>
              </w:tc>
            </w:tr>
            <w:tr w:rsidR="0034762A" w:rsidRPr="0034762A">
              <w:trPr>
                <w:trHeight w:val="150"/>
                <w:tblCellSpacing w:w="0" w:type="dxa"/>
              </w:trPr>
              <w:tc>
                <w:tcPr>
                  <w:tcW w:w="150" w:type="dxa"/>
                  <w:shd w:val="clear" w:color="auto" w:fill="F68621"/>
                  <w:vAlign w:val="center"/>
                  <w:hideMark/>
                </w:tcPr>
                <w:p w:rsidR="0034762A" w:rsidRPr="0034762A" w:rsidRDefault="0034762A" w:rsidP="0034762A">
                  <w:r w:rsidRPr="0034762A">
                    <w:t> </w:t>
                  </w:r>
                </w:p>
              </w:tc>
              <w:tc>
                <w:tcPr>
                  <w:tcW w:w="0" w:type="auto"/>
                  <w:shd w:val="clear" w:color="auto" w:fill="F68621"/>
                  <w:vAlign w:val="center"/>
                  <w:hideMark/>
                </w:tcPr>
                <w:p w:rsidR="0034762A" w:rsidRPr="0034762A" w:rsidRDefault="0034762A" w:rsidP="0034762A">
                  <w:r w:rsidRPr="0034762A">
                    <w:t> </w:t>
                  </w:r>
                </w:p>
              </w:tc>
            </w:tr>
          </w:tbl>
          <w:p w:rsidR="0034762A" w:rsidRPr="0034762A" w:rsidRDefault="0034762A" w:rsidP="0034762A">
            <w:pPr>
              <w:rPr>
                <w:vanish/>
              </w:rPr>
            </w:pPr>
          </w:p>
          <w:tbl>
            <w:tblPr>
              <w:tblW w:w="8175" w:type="dxa"/>
              <w:tblCellSpacing w:w="0" w:type="dxa"/>
              <w:tblCellMar>
                <w:left w:w="0" w:type="dxa"/>
                <w:right w:w="0" w:type="dxa"/>
              </w:tblCellMar>
              <w:tblLook w:val="04A0" w:firstRow="1" w:lastRow="0" w:firstColumn="1" w:lastColumn="0" w:noHBand="0" w:noVBand="1"/>
            </w:tblPr>
            <w:tblGrid>
              <w:gridCol w:w="4140"/>
              <w:gridCol w:w="360"/>
              <w:gridCol w:w="3675"/>
            </w:tblGrid>
            <w:tr w:rsidR="0034762A" w:rsidRPr="0034762A">
              <w:trPr>
                <w:tblCellSpacing w:w="0" w:type="dxa"/>
              </w:trPr>
              <w:tc>
                <w:tcPr>
                  <w:tcW w:w="4140" w:type="dxa"/>
                  <w:shd w:val="clear" w:color="auto" w:fill="FFFFFF"/>
                  <w:tcMar>
                    <w:top w:w="300" w:type="dxa"/>
                    <w:left w:w="0" w:type="dxa"/>
                    <w:bottom w:w="150" w:type="dxa"/>
                    <w:right w:w="0" w:type="dxa"/>
                  </w:tcMar>
                  <w:hideMark/>
                </w:tcPr>
                <w:p w:rsidR="0034762A" w:rsidRPr="0034762A" w:rsidRDefault="0034762A" w:rsidP="0034762A">
                  <w:r w:rsidRPr="0034762A">
                    <w:rPr>
                      <w:b/>
                      <w:bCs/>
                    </w:rPr>
                    <w:t>COVID-19: Interim guidance for behavioral providers</w:t>
                  </w:r>
                  <w:r w:rsidRPr="0034762A">
                    <w:br/>
                    <w:t xml:space="preserve">During this time of heightened awareness of the novel Coronavirus, COVID-19, and its classification by the World Health Organization (WHO) as a global pandemic, we want to keep you up to date on how Cigna Behavioral Health is working to help support you and your patients with Cigna coverage. </w:t>
                  </w:r>
                  <w:hyperlink r:id="rId5" w:history="1">
                    <w:r w:rsidRPr="0034762A">
                      <w:rPr>
                        <w:rStyle w:val="Hyperlink"/>
                      </w:rPr>
                      <w:t>Learn more</w:t>
                    </w:r>
                  </w:hyperlink>
                </w:p>
                <w:p w:rsidR="0034762A" w:rsidRPr="0034762A" w:rsidRDefault="0034762A" w:rsidP="0034762A">
                  <w:r w:rsidRPr="0034762A">
                    <w:pict>
                      <v:rect id="_x0000_i1026" style="width:0;height:.75pt" o:hralign="center" o:hrstd="t" o:hr="t" fillcolor="#a0a0a0" stroked="f"/>
                    </w:pict>
                  </w:r>
                </w:p>
                <w:p w:rsidR="0034762A" w:rsidRPr="0034762A" w:rsidRDefault="0034762A" w:rsidP="0034762A">
                  <w:r w:rsidRPr="0034762A">
                    <w:rPr>
                      <w:b/>
                      <w:bCs/>
                    </w:rPr>
                    <w:t xml:space="preserve">New standardized appeals process for all outpatient partial hospitalization services </w:t>
                  </w:r>
                  <w:r w:rsidRPr="0034762A">
                    <w:rPr>
                      <w:b/>
                      <w:bCs/>
                    </w:rPr>
                    <w:br/>
                  </w:r>
                  <w:r w:rsidRPr="0034762A">
                    <w:t xml:space="preserve">Beginning August 31, 2020, claim appeals for outpatient partial hospitalization (OPH)/partial hospitalization program (PHP) services need to be submitted by mail or fax. We will no longer be conducting telephonic reviews for OPH/PHP claim appeals. </w:t>
                  </w:r>
                  <w:hyperlink r:id="rId6" w:history="1">
                    <w:r w:rsidRPr="0034762A">
                      <w:rPr>
                        <w:rStyle w:val="Hyperlink"/>
                      </w:rPr>
                      <w:t>Learn more</w:t>
                    </w:r>
                  </w:hyperlink>
                </w:p>
                <w:p w:rsidR="0034762A" w:rsidRPr="0034762A" w:rsidRDefault="0034762A" w:rsidP="0034762A">
                  <w:r w:rsidRPr="0034762A">
                    <w:pict>
                      <v:rect id="_x0000_i1027" style="width:0;height:.75pt" o:hralign="center" o:hrstd="t" o:hr="t" fillcolor="#a0a0a0" stroked="f"/>
                    </w:pict>
                  </w:r>
                </w:p>
                <w:p w:rsidR="0034762A" w:rsidRPr="0034762A" w:rsidRDefault="0034762A" w:rsidP="0034762A">
                  <w:r w:rsidRPr="0034762A">
                    <w:rPr>
                      <w:b/>
                      <w:bCs/>
                    </w:rPr>
                    <w:t>Transcranial Magnetic Stimulation (TMS) coverage policy update</w:t>
                  </w:r>
                  <w:r w:rsidRPr="0034762A">
                    <w:br/>
                    <w:t xml:space="preserve">To clarify our coverage position for transcranial magnetic stimulation (TMS), </w:t>
                  </w:r>
                  <w:r w:rsidRPr="0034762A">
                    <w:lastRenderedPageBreak/>
                    <w:t xml:space="preserve">Cigna updated its policy, effective July 1, 2020, to include detailed language about an individual’s current episode of depression and antidepressant medication trials. </w:t>
                  </w:r>
                  <w:hyperlink r:id="rId7" w:history="1">
                    <w:r w:rsidRPr="0034762A">
                      <w:rPr>
                        <w:rStyle w:val="Hyperlink"/>
                      </w:rPr>
                      <w:t>Learn more</w:t>
                    </w:r>
                  </w:hyperlink>
                </w:p>
              </w:tc>
              <w:tc>
                <w:tcPr>
                  <w:tcW w:w="360" w:type="dxa"/>
                  <w:shd w:val="clear" w:color="auto" w:fill="FFFFFF"/>
                  <w:tcMar>
                    <w:top w:w="75" w:type="dxa"/>
                    <w:left w:w="0" w:type="dxa"/>
                    <w:bottom w:w="0" w:type="dxa"/>
                    <w:right w:w="0" w:type="dxa"/>
                  </w:tcMar>
                  <w:hideMark/>
                </w:tcPr>
                <w:p w:rsidR="0034762A" w:rsidRPr="0034762A" w:rsidRDefault="0034762A" w:rsidP="0034762A">
                  <w:r w:rsidRPr="0034762A">
                    <w:lastRenderedPageBreak/>
                    <w:t> </w:t>
                  </w:r>
                </w:p>
              </w:tc>
              <w:tc>
                <w:tcPr>
                  <w:tcW w:w="3675" w:type="dxa"/>
                  <w:shd w:val="clear" w:color="auto" w:fill="FFFFFF"/>
                  <w:tcMar>
                    <w:top w:w="300" w:type="dxa"/>
                    <w:left w:w="0" w:type="dxa"/>
                    <w:bottom w:w="150" w:type="dxa"/>
                    <w:right w:w="0" w:type="dxa"/>
                  </w:tcMar>
                  <w:hideMark/>
                </w:tcPr>
                <w:p w:rsidR="0034762A" w:rsidRPr="0034762A" w:rsidRDefault="0034762A" w:rsidP="0034762A">
                  <w:r w:rsidRPr="0034762A">
                    <w:rPr>
                      <w:b/>
                      <w:bCs/>
                    </w:rPr>
                    <w:t>NEWS YOU CAN USE</w:t>
                  </w:r>
                  <w:r w:rsidRPr="0034762A">
                    <w:t xml:space="preserve"> </w:t>
                  </w:r>
                </w:p>
                <w:p w:rsidR="0034762A" w:rsidRPr="0034762A" w:rsidRDefault="0034762A" w:rsidP="0034762A">
                  <w:hyperlink r:id="rId8" w:history="1">
                    <w:r w:rsidRPr="0034762A">
                      <w:rPr>
                        <w:rStyle w:val="Hyperlink"/>
                      </w:rPr>
                      <w:t>Administrative tutorials: Partners in success</w:t>
                    </w:r>
                  </w:hyperlink>
                </w:p>
                <w:p w:rsidR="0034762A" w:rsidRPr="0034762A" w:rsidRDefault="0034762A" w:rsidP="0034762A">
                  <w:hyperlink r:id="rId9" w:history="1">
                    <w:r w:rsidRPr="0034762A">
                      <w:rPr>
                        <w:rStyle w:val="Hyperlink"/>
                      </w:rPr>
                      <w:t>Providers must meet language assistance compliance requirements</w:t>
                    </w:r>
                  </w:hyperlink>
                </w:p>
                <w:p w:rsidR="0034762A" w:rsidRPr="0034762A" w:rsidRDefault="0034762A" w:rsidP="0034762A">
                  <w:hyperlink r:id="rId10" w:history="1">
                    <w:r w:rsidRPr="0034762A">
                      <w:rPr>
                        <w:rStyle w:val="Hyperlink"/>
                      </w:rPr>
                      <w:t>Keep us posted so we can keep you informed</w:t>
                    </w:r>
                  </w:hyperlink>
                </w:p>
                <w:p w:rsidR="0034762A" w:rsidRPr="0034762A" w:rsidRDefault="0034762A" w:rsidP="0034762A">
                  <w:r w:rsidRPr="0034762A">
                    <w:br/>
                  </w:r>
                  <w:r w:rsidRPr="0034762A">
                    <w:rPr>
                      <w:b/>
                      <w:bCs/>
                    </w:rPr>
                    <w:t>QUALITY CORNER</w:t>
                  </w:r>
                  <w:r w:rsidRPr="0034762A">
                    <w:t xml:space="preserve"> </w:t>
                  </w:r>
                </w:p>
                <w:p w:rsidR="0034762A" w:rsidRPr="0034762A" w:rsidRDefault="0034762A" w:rsidP="0034762A">
                  <w:hyperlink r:id="rId11" w:history="1">
                    <w:r w:rsidRPr="0034762A">
                      <w:rPr>
                        <w:rStyle w:val="Hyperlink"/>
                      </w:rPr>
                      <w:t>Updates: Clinical Practice Guidelines</w:t>
                    </w:r>
                  </w:hyperlink>
                </w:p>
                <w:p w:rsidR="0034762A" w:rsidRPr="0034762A" w:rsidRDefault="0034762A" w:rsidP="0034762A">
                  <w:hyperlink r:id="rId12" w:history="1">
                    <w:r w:rsidRPr="0034762A">
                      <w:rPr>
                        <w:rStyle w:val="Hyperlink"/>
                      </w:rPr>
                      <w:t>Continuity and coordination of behavioral and medical care</w:t>
                    </w:r>
                  </w:hyperlink>
                </w:p>
                <w:p w:rsidR="0034762A" w:rsidRPr="0034762A" w:rsidRDefault="0034762A" w:rsidP="0034762A">
                  <w:hyperlink r:id="rId13" w:history="1">
                    <w:r w:rsidRPr="0034762A">
                      <w:rPr>
                        <w:rStyle w:val="Hyperlink"/>
                      </w:rPr>
                      <w:t>Customer care and safety guidelines</w:t>
                    </w:r>
                  </w:hyperlink>
                </w:p>
                <w:p w:rsidR="0034762A" w:rsidRPr="0034762A" w:rsidRDefault="0034762A" w:rsidP="0034762A">
                  <w:hyperlink r:id="rId14" w:history="1">
                    <w:r w:rsidRPr="0034762A">
                      <w:rPr>
                        <w:rStyle w:val="Hyperlink"/>
                      </w:rPr>
                      <w:t>Diabetes screening: Recommendations for psychiatrists</w:t>
                    </w:r>
                  </w:hyperlink>
                </w:p>
                <w:p w:rsidR="0034762A" w:rsidRPr="0034762A" w:rsidRDefault="0034762A" w:rsidP="0034762A">
                  <w:r w:rsidRPr="0034762A">
                    <w:t> </w:t>
                  </w:r>
                </w:p>
                <w:p w:rsidR="0034762A" w:rsidRPr="0034762A" w:rsidRDefault="0034762A" w:rsidP="0034762A">
                  <w:r w:rsidRPr="0034762A">
                    <w:pict>
                      <v:rect id="_x0000_i1028" style="width:0;height:.75pt" o:hralign="center" o:hrstd="t" o:hr="t" fillcolor="#a0a0a0" stroked="f"/>
                    </w:pict>
                  </w:r>
                </w:p>
                <w:p w:rsidR="0034762A" w:rsidRPr="0034762A" w:rsidRDefault="0034762A" w:rsidP="0034762A">
                  <w:r w:rsidRPr="0034762A">
                    <w:rPr>
                      <w:b/>
                      <w:bCs/>
                    </w:rPr>
                    <w:t>Contact Us</w:t>
                  </w:r>
                  <w:r w:rsidRPr="0034762A">
                    <w:rPr>
                      <w:b/>
                      <w:bCs/>
                    </w:rPr>
                    <w:br/>
                  </w:r>
                  <w:r w:rsidRPr="0034762A">
                    <w:t xml:space="preserve">Do you need to contact Cigna Behavioral Health? </w:t>
                  </w:r>
                </w:p>
                <w:p w:rsidR="0034762A" w:rsidRPr="0034762A" w:rsidRDefault="0034762A" w:rsidP="0034762A">
                  <w:r w:rsidRPr="0034762A">
                    <w:rPr>
                      <w:b/>
                      <w:bCs/>
                    </w:rPr>
                    <w:lastRenderedPageBreak/>
                    <w:t>Call:</w:t>
                  </w:r>
                  <w:r w:rsidRPr="0034762A">
                    <w:t xml:space="preserve"> 800.926.2273 </w:t>
                  </w:r>
                </w:p>
                <w:p w:rsidR="0034762A" w:rsidRPr="0034762A" w:rsidRDefault="0034762A" w:rsidP="0034762A">
                  <w:r w:rsidRPr="0034762A">
                    <w:rPr>
                      <w:b/>
                      <w:bCs/>
                    </w:rPr>
                    <w:t>Fax:</w:t>
                  </w:r>
                  <w:r w:rsidRPr="0034762A">
                    <w:t xml:space="preserve"> 860.847.5207</w:t>
                  </w:r>
                </w:p>
                <w:p w:rsidR="0034762A" w:rsidRPr="0034762A" w:rsidRDefault="0034762A" w:rsidP="0034762A">
                  <w:r w:rsidRPr="0034762A">
                    <w:rPr>
                      <w:b/>
                      <w:bCs/>
                    </w:rPr>
                    <w:t>Email:</w:t>
                  </w:r>
                  <w:r w:rsidRPr="0034762A">
                    <w:t xml:space="preserve"> </w:t>
                  </w:r>
                  <w:hyperlink r:id="rId15" w:history="1">
                    <w:r w:rsidRPr="0034762A">
                      <w:rPr>
                        <w:rStyle w:val="Hyperlink"/>
                      </w:rPr>
                      <w:t>behprep@cigna.com</w:t>
                    </w:r>
                  </w:hyperlink>
                </w:p>
                <w:p w:rsidR="0034762A" w:rsidRPr="0034762A" w:rsidRDefault="0034762A" w:rsidP="0034762A">
                  <w:r w:rsidRPr="0034762A">
                    <w:rPr>
                      <w:b/>
                      <w:bCs/>
                    </w:rPr>
                    <w:t>Write:</w:t>
                  </w:r>
                  <w:r w:rsidRPr="0034762A">
                    <w:br/>
                    <w:t>11095 Viking Drive</w:t>
                  </w:r>
                  <w:r w:rsidRPr="0034762A">
                    <w:br/>
                    <w:t xml:space="preserve">Eden Prairie, MN  55344 </w:t>
                  </w:r>
                </w:p>
              </w:tc>
            </w:tr>
          </w:tbl>
          <w:p w:rsidR="0034762A" w:rsidRPr="0034762A" w:rsidRDefault="0034762A" w:rsidP="0034762A">
            <w:pPr>
              <w:rPr>
                <w:vanish/>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81"/>
            </w:tblGrid>
            <w:tr w:rsidR="0034762A" w:rsidRPr="0034762A">
              <w:trPr>
                <w:tblCellSpacing w:w="15" w:type="dxa"/>
              </w:trPr>
              <w:tc>
                <w:tcPr>
                  <w:tcW w:w="0" w:type="auto"/>
                  <w:shd w:val="clear" w:color="auto" w:fill="FFFFFF"/>
                  <w:tcMar>
                    <w:top w:w="150" w:type="dxa"/>
                    <w:left w:w="0" w:type="dxa"/>
                    <w:bottom w:w="150" w:type="dxa"/>
                    <w:right w:w="0" w:type="dxa"/>
                  </w:tcMar>
                  <w:hideMark/>
                </w:tcPr>
                <w:p w:rsidR="00000000" w:rsidRPr="0034762A" w:rsidRDefault="0034762A" w:rsidP="0034762A"/>
              </w:tc>
            </w:tr>
          </w:tbl>
          <w:p w:rsidR="00000000" w:rsidRPr="0034762A" w:rsidRDefault="0034762A" w:rsidP="0034762A"/>
        </w:tc>
        <w:tc>
          <w:tcPr>
            <w:tcW w:w="330" w:type="dxa"/>
            <w:shd w:val="clear" w:color="auto" w:fill="FFFFFF"/>
            <w:tcMar>
              <w:top w:w="300" w:type="dxa"/>
              <w:left w:w="0" w:type="dxa"/>
              <w:bottom w:w="0" w:type="dxa"/>
              <w:right w:w="0" w:type="dxa"/>
            </w:tcMar>
            <w:vAlign w:val="center"/>
            <w:hideMark/>
          </w:tcPr>
          <w:p w:rsidR="0034762A" w:rsidRPr="0034762A" w:rsidRDefault="0034762A" w:rsidP="0034762A">
            <w:r w:rsidRPr="0034762A">
              <w:lastRenderedPageBreak/>
              <w:t> </w:t>
            </w:r>
          </w:p>
        </w:tc>
      </w:tr>
      <w:tr w:rsidR="0034762A" w:rsidRPr="0034762A" w:rsidTr="0034762A">
        <w:trPr>
          <w:trHeight w:val="75"/>
          <w:tblCellSpacing w:w="0" w:type="dxa"/>
          <w:jc w:val="center"/>
        </w:trPr>
        <w:tc>
          <w:tcPr>
            <w:tcW w:w="0" w:type="auto"/>
            <w:gridSpan w:val="3"/>
            <w:shd w:val="clear" w:color="auto" w:fill="0E1E63"/>
            <w:hideMark/>
          </w:tcPr>
          <w:p w:rsidR="0034762A" w:rsidRPr="0034762A" w:rsidRDefault="0034762A" w:rsidP="0034762A"/>
        </w:tc>
      </w:tr>
      <w:tr w:rsidR="0034762A" w:rsidRPr="0034762A" w:rsidTr="0034762A">
        <w:trPr>
          <w:trHeight w:val="75"/>
          <w:tblCellSpacing w:w="0" w:type="dxa"/>
          <w:jc w:val="center"/>
        </w:trPr>
        <w:tc>
          <w:tcPr>
            <w:tcW w:w="0" w:type="auto"/>
            <w:gridSpan w:val="3"/>
            <w:shd w:val="clear" w:color="auto" w:fill="0E1E63"/>
            <w:hideMark/>
          </w:tcPr>
          <w:p w:rsidR="0034762A" w:rsidRPr="0034762A" w:rsidRDefault="0034762A" w:rsidP="0034762A"/>
        </w:tc>
      </w:tr>
      <w:tr w:rsidR="0034762A" w:rsidRPr="0034762A" w:rsidTr="0034762A">
        <w:trPr>
          <w:tblCellSpacing w:w="0" w:type="dxa"/>
          <w:jc w:val="center"/>
        </w:trPr>
        <w:tc>
          <w:tcPr>
            <w:tcW w:w="0" w:type="auto"/>
            <w:gridSpan w:val="3"/>
            <w:shd w:val="clear" w:color="auto" w:fill="0081C5"/>
            <w:hideMark/>
          </w:tcPr>
          <w:p w:rsidR="0034762A" w:rsidRPr="0034762A" w:rsidRDefault="0034762A" w:rsidP="0034762A">
            <w:r w:rsidRPr="0034762A">
              <w:drawing>
                <wp:inline distT="0" distB="0" distL="0" distR="0">
                  <wp:extent cx="5715000" cy="666750"/>
                  <wp:effectExtent l="0" t="0" r="0" b="0"/>
                  <wp:docPr id="1" name="Picture 1" descr="Cig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gn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5000" cy="666750"/>
                          </a:xfrm>
                          <a:prstGeom prst="rect">
                            <a:avLst/>
                          </a:prstGeom>
                          <a:noFill/>
                          <a:ln>
                            <a:noFill/>
                          </a:ln>
                        </pic:spPr>
                      </pic:pic>
                    </a:graphicData>
                  </a:graphic>
                </wp:inline>
              </w:drawing>
            </w:r>
          </w:p>
        </w:tc>
      </w:tr>
      <w:tr w:rsidR="0034762A" w:rsidRPr="0034762A" w:rsidTr="0034762A">
        <w:trPr>
          <w:tblCellSpacing w:w="0" w:type="dxa"/>
          <w:jc w:val="center"/>
        </w:trPr>
        <w:tc>
          <w:tcPr>
            <w:tcW w:w="360" w:type="dxa"/>
            <w:shd w:val="clear" w:color="auto" w:fill="0081C5"/>
            <w:tcMar>
              <w:top w:w="75" w:type="dxa"/>
              <w:left w:w="0" w:type="dxa"/>
              <w:bottom w:w="0" w:type="dxa"/>
              <w:right w:w="0" w:type="dxa"/>
            </w:tcMar>
            <w:vAlign w:val="center"/>
            <w:hideMark/>
          </w:tcPr>
          <w:p w:rsidR="0034762A" w:rsidRPr="0034762A" w:rsidRDefault="0034762A" w:rsidP="0034762A">
            <w:r w:rsidRPr="0034762A">
              <w:t> </w:t>
            </w:r>
          </w:p>
        </w:tc>
        <w:tc>
          <w:tcPr>
            <w:tcW w:w="8310" w:type="dxa"/>
            <w:shd w:val="clear" w:color="auto" w:fill="0081C5"/>
            <w:tcMar>
              <w:top w:w="75" w:type="dxa"/>
              <w:left w:w="75" w:type="dxa"/>
              <w:bottom w:w="150" w:type="dxa"/>
              <w:right w:w="75" w:type="dxa"/>
            </w:tcMar>
            <w:hideMark/>
          </w:tcPr>
          <w:p w:rsidR="0034762A" w:rsidRPr="0034762A" w:rsidRDefault="0034762A" w:rsidP="0034762A">
            <w:r w:rsidRPr="0034762A">
              <w:t xml:space="preserve">Any reference to the products, services, information or websites of third parties is provided for informational purposes only and should not be construed as an endorsement by Cigna of the products, services, information, or websites of such third parties. Cigna neither reviews nor controls the content and accuracy of these references or websites, and therefore will not be responsible for their content or accuracy. </w:t>
            </w:r>
            <w:r w:rsidRPr="0034762A">
              <w:br/>
            </w:r>
            <w:r w:rsidRPr="0034762A">
              <w:br/>
              <w:t xml:space="preserve">All Cigna products and services are provided exclusively by or through operating subsidiaries of Cigna Corporation, including Cigna Health and Life Insurance Company, Connecticut General Life Insurance Company, Cigna Behavioral Health, Inc., and HMO or service company subsidiaries of Cigna Health Corporation. The Cigna name, logo, and other Cigna marks are owned by Cigna Intellectual Property, Inc. </w:t>
            </w:r>
            <w:r w:rsidRPr="0034762A">
              <w:br/>
            </w:r>
            <w:r w:rsidRPr="0034762A">
              <w:br/>
              <w:t xml:space="preserve">This is a promotional email from Cigna | 900 Cottage Grove Road | Bloomfield, CT 06002. </w:t>
            </w:r>
            <w:r w:rsidRPr="0034762A">
              <w:br/>
            </w:r>
            <w:r w:rsidRPr="0034762A">
              <w:br/>
              <w:t xml:space="preserve">PCOMM-2020-682 © 2020 Cigna. Some content provided under license. </w:t>
            </w:r>
          </w:p>
        </w:tc>
        <w:tc>
          <w:tcPr>
            <w:tcW w:w="330" w:type="dxa"/>
            <w:shd w:val="clear" w:color="auto" w:fill="0081C5"/>
            <w:tcMar>
              <w:top w:w="75" w:type="dxa"/>
              <w:left w:w="0" w:type="dxa"/>
              <w:bottom w:w="0" w:type="dxa"/>
              <w:right w:w="0" w:type="dxa"/>
            </w:tcMar>
            <w:vAlign w:val="center"/>
            <w:hideMark/>
          </w:tcPr>
          <w:p w:rsidR="0034762A" w:rsidRPr="0034762A" w:rsidRDefault="0034762A" w:rsidP="0034762A">
            <w:r w:rsidRPr="0034762A">
              <w:t> </w:t>
            </w:r>
          </w:p>
        </w:tc>
      </w:tr>
    </w:tbl>
    <w:p w:rsidR="00207884" w:rsidRDefault="00207884">
      <w:bookmarkStart w:id="0" w:name="_GoBack"/>
      <w:bookmarkEnd w:id="0"/>
    </w:p>
    <w:sectPr w:rsidR="002078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62A"/>
    <w:rsid w:val="00207884"/>
    <w:rsid w:val="00347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48DB6A-385F-4B60-A13D-A1FD37B52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476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038615">
      <w:bodyDiv w:val="1"/>
      <w:marLeft w:val="0"/>
      <w:marRight w:val="0"/>
      <w:marTop w:val="0"/>
      <w:marBottom w:val="0"/>
      <w:divBdr>
        <w:top w:val="none" w:sz="0" w:space="0" w:color="auto"/>
        <w:left w:val="none" w:sz="0" w:space="0" w:color="auto"/>
        <w:bottom w:val="none" w:sz="0" w:space="0" w:color="auto"/>
        <w:right w:val="none" w:sz="0" w:space="0" w:color="auto"/>
      </w:divBdr>
      <w:divsChild>
        <w:div w:id="18132097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information.cigna.com/e/er?s=535304419&amp;lid=546&amp;elqTrackId=61e540fe4f2841289e660a1afd74c714&amp;elq=f341b2fb3e60460c9797f3d3dcfba20d&amp;elqaid=809&amp;elqat=1" TargetMode="External"/><Relationship Id="rId13" Type="http://schemas.openxmlformats.org/officeDocument/2006/relationships/hyperlink" Target="http://app.information.cigna.com/e/er?s=535304419&amp;lid=541&amp;elqTrackId=3cb59643a22b4254a21c7a05849c56e5&amp;elq=f341b2fb3e60460c9797f3d3dcfba20d&amp;elqaid=809&amp;elqat=1"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app.information.cigna.com/e/er?s=535304419&amp;lid=547&amp;elqTrackId=60ad3826a8b542de8ef042fb93c1ac4f&amp;elq=f341b2fb3e60460c9797f3d3dcfba20d&amp;elqaid=809&amp;elqat=1" TargetMode="External"/><Relationship Id="rId12" Type="http://schemas.openxmlformats.org/officeDocument/2006/relationships/hyperlink" Target="http://app.information.cigna.com/e/er?s=535304419&amp;lid=542&amp;elqTrackId=891b70ea6da6449e92843300235185e2&amp;elq=f341b2fb3e60460c9797f3d3dcfba20d&amp;elqaid=809&amp;elqat=1"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2.jpeg"/><Relationship Id="rId1" Type="http://schemas.openxmlformats.org/officeDocument/2006/relationships/styles" Target="styles.xml"/><Relationship Id="rId6" Type="http://schemas.openxmlformats.org/officeDocument/2006/relationships/hyperlink" Target="http://app.information.cigna.com/e/er?s=535304419&amp;lid=548&amp;elqTrackId=ff2bed486b0049a49f5045aa5ab5130b&amp;elq=f341b2fb3e60460c9797f3d3dcfba20d&amp;elqaid=809&amp;elqat=1" TargetMode="External"/><Relationship Id="rId11" Type="http://schemas.openxmlformats.org/officeDocument/2006/relationships/hyperlink" Target="http://app.information.cigna.com/e/er?s=535304419&amp;lid=543&amp;elqTrackId=fb285c4764ab46c3bf3a041164830833&amp;elq=f341b2fb3e60460c9797f3d3dcfba20d&amp;elqaid=809&amp;elqat=1" TargetMode="External"/><Relationship Id="rId5" Type="http://schemas.openxmlformats.org/officeDocument/2006/relationships/hyperlink" Target="http://app.information.cigna.com/e/er?s=535304419&amp;lid=549&amp;elqTrackId=94658d0c43a4415b893b23cc13feea6c&amp;elq=f341b2fb3e60460c9797f3d3dcfba20d&amp;elqaid=809&amp;elqat=1" TargetMode="External"/><Relationship Id="rId15" Type="http://schemas.openxmlformats.org/officeDocument/2006/relationships/hyperlink" Target="mailto:behprep@cigna.com" TargetMode="External"/><Relationship Id="rId10" Type="http://schemas.openxmlformats.org/officeDocument/2006/relationships/hyperlink" Target="http://app.information.cigna.com/e/er?s=535304419&amp;lid=544&amp;elqTrackId=545076abb7894d42bcf7d9e2bf6d4f74&amp;elq=f341b2fb3e60460c9797f3d3dcfba20d&amp;elqaid=809&amp;elqat=1" TargetMode="External"/><Relationship Id="rId4" Type="http://schemas.openxmlformats.org/officeDocument/2006/relationships/image" Target="media/image1.jpeg"/><Relationship Id="rId9" Type="http://schemas.openxmlformats.org/officeDocument/2006/relationships/hyperlink" Target="http://app.information.cigna.com/e/er?s=535304419&amp;lid=545&amp;elqTrackId=ddab3ed459644b90a8de953eb2acdbed&amp;elq=f341b2fb3e60460c9797f3d3dcfba20d&amp;elqaid=809&amp;elqat=1" TargetMode="External"/><Relationship Id="rId14" Type="http://schemas.openxmlformats.org/officeDocument/2006/relationships/hyperlink" Target="http://app.information.cigna.com/e/er?s=535304419&amp;lid=540&amp;elqTrackId=385f66ec2cec4676ac28e0dd8c195812&amp;elq=f341b2fb3e60460c9797f3d3dcfba20d&amp;elqaid=809&amp;elqa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Med Center Health</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Racel, Lori L</dc:creator>
  <cp:keywords/>
  <dc:description/>
  <cp:lastModifiedBy>Racel, Lori L</cp:lastModifiedBy>
  <cp:revision>1</cp:revision>
  <dcterms:created xsi:type="dcterms:W3CDTF">2020-10-07T15:58:00Z</dcterms:created>
  <dcterms:modified xsi:type="dcterms:W3CDTF">2020-10-07T15:58:00Z</dcterms:modified>
</cp:coreProperties>
</file>