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E2" w:rsidRDefault="00C122E2" w:rsidP="00C122E2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eviCore</w:t>
      </w:r>
      <w:proofErr w:type="spellEnd"/>
      <w:r>
        <w:rPr>
          <w:b/>
          <w:bCs/>
          <w:sz w:val="28"/>
          <w:szCs w:val="28"/>
        </w:rPr>
        <w:t xml:space="preserve"> healthcare to perform prior authorization for medical oncology clinical trials </w:t>
      </w:r>
    </w:p>
    <w:p w:rsidR="00C122E2" w:rsidRDefault="00C122E2" w:rsidP="00C122E2">
      <w:pPr>
        <w:rPr>
          <w:b/>
          <w:bCs/>
          <w:sz w:val="28"/>
          <w:szCs w:val="28"/>
        </w:rPr>
      </w:pPr>
    </w:p>
    <w:p w:rsidR="00C122E2" w:rsidRDefault="00C122E2" w:rsidP="00C122E2">
      <w:pPr>
        <w:rPr>
          <w:sz w:val="24"/>
          <w:szCs w:val="24"/>
        </w:rPr>
      </w:pPr>
      <w:r>
        <w:rPr>
          <w:sz w:val="24"/>
          <w:szCs w:val="24"/>
        </w:rPr>
        <w:t xml:space="preserve">Effective August 27, </w:t>
      </w:r>
      <w:proofErr w:type="spellStart"/>
      <w:r>
        <w:rPr>
          <w:sz w:val="24"/>
          <w:szCs w:val="24"/>
        </w:rPr>
        <w:t>eviCore</w:t>
      </w:r>
      <w:proofErr w:type="spellEnd"/>
      <w:r>
        <w:rPr>
          <w:sz w:val="24"/>
          <w:szCs w:val="24"/>
        </w:rPr>
        <w:t xml:space="preserve"> healthcare (</w:t>
      </w:r>
      <w:proofErr w:type="spellStart"/>
      <w:r>
        <w:rPr>
          <w:sz w:val="24"/>
          <w:szCs w:val="24"/>
        </w:rPr>
        <w:t>eviCore</w:t>
      </w:r>
      <w:proofErr w:type="spellEnd"/>
      <w:r>
        <w:rPr>
          <w:sz w:val="24"/>
          <w:szCs w:val="24"/>
        </w:rPr>
        <w:t>) will begin managing outpatient prior authorization requests for pediatric and adult patients enrolling in a medical oncology clinical trial. Cigna currently manages these requests. This change was originally scheduled to occur on August 13, but was recently rescheduled to August 27.</w:t>
      </w:r>
    </w:p>
    <w:p w:rsidR="00C122E2" w:rsidRDefault="00C122E2" w:rsidP="00C122E2">
      <w:pPr>
        <w:rPr>
          <w:sz w:val="24"/>
          <w:szCs w:val="24"/>
        </w:rPr>
      </w:pPr>
    </w:p>
    <w:p w:rsidR="00C122E2" w:rsidRDefault="00C122E2" w:rsidP="00C122E2">
      <w:pPr>
        <w:rPr>
          <w:sz w:val="24"/>
          <w:szCs w:val="24"/>
        </w:rPr>
      </w:pPr>
      <w:r>
        <w:rPr>
          <w:sz w:val="24"/>
          <w:szCs w:val="24"/>
        </w:rPr>
        <w:t xml:space="preserve">This change is part of a comprehensive oncology clinical trials management solution that promotes affordability, predictability, and simplicity. Earlier this year, as another part of the solution, </w:t>
      </w:r>
      <w:proofErr w:type="spellStart"/>
      <w:r>
        <w:rPr>
          <w:sz w:val="24"/>
          <w:szCs w:val="24"/>
        </w:rPr>
        <w:t>eviCore</w:t>
      </w:r>
      <w:proofErr w:type="spellEnd"/>
      <w:r>
        <w:rPr>
          <w:sz w:val="24"/>
          <w:szCs w:val="24"/>
        </w:rPr>
        <w:t xml:space="preserve"> enhanced the prior authorization process for outpatient oncology cases to include a search of the National Cancer Institute’s clinical trial database to help match patients to clinical trials.</w:t>
      </w:r>
    </w:p>
    <w:p w:rsidR="00C122E2" w:rsidRDefault="00C122E2" w:rsidP="00C122E2">
      <w:pPr>
        <w:rPr>
          <w:rFonts w:ascii="Comic Sans MS" w:hAnsi="Comic Sans MS"/>
          <w:sz w:val="24"/>
          <w:szCs w:val="24"/>
        </w:rPr>
      </w:pPr>
    </w:p>
    <w:p w:rsidR="00C122E2" w:rsidRDefault="00C122E2" w:rsidP="00C122E2">
      <w:pPr>
        <w:rPr>
          <w:rFonts w:ascii="Comic Sans MS" w:hAnsi="Comic Sans MS"/>
          <w:sz w:val="24"/>
          <w:szCs w:val="24"/>
        </w:rPr>
      </w:pPr>
    </w:p>
    <w:p w:rsidR="00C122E2" w:rsidRDefault="00C122E2" w:rsidP="00C122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Reimbursement policy update – Professional claims for emergency room evaluation and management services effective November 14 </w:t>
      </w:r>
    </w:p>
    <w:p w:rsidR="00C122E2" w:rsidRDefault="00C122E2" w:rsidP="00C122E2">
      <w:pPr>
        <w:rPr>
          <w:b/>
          <w:bCs/>
          <w:sz w:val="28"/>
          <w:szCs w:val="28"/>
        </w:rPr>
      </w:pPr>
    </w:p>
    <w:p w:rsidR="00C122E2" w:rsidRDefault="00C122E2" w:rsidP="00C122E2">
      <w:pPr>
        <w:rPr>
          <w:sz w:val="24"/>
          <w:szCs w:val="24"/>
        </w:rPr>
      </w:pPr>
      <w:r>
        <w:rPr>
          <w:sz w:val="24"/>
          <w:szCs w:val="24"/>
        </w:rPr>
        <w:t>We routinely review our coverage, reimbursement, and administrative policies for potential updates. In that review, we take into consideration one or more of the following: Evidence-based medicine (EBM), professional society recommendations, Centers for Medicare &amp; Medicaid Services (CMS) guidance, industry standards, and our other existing policies.</w:t>
      </w:r>
    </w:p>
    <w:p w:rsidR="00C122E2" w:rsidRDefault="00C122E2" w:rsidP="00C122E2"/>
    <w:p w:rsidR="00C122E2" w:rsidRDefault="00C122E2" w:rsidP="00C122E2">
      <w:pPr>
        <w:rPr>
          <w:sz w:val="24"/>
          <w:szCs w:val="24"/>
        </w:rPr>
      </w:pPr>
      <w:r>
        <w:rPr>
          <w:sz w:val="24"/>
          <w:szCs w:val="24"/>
        </w:rPr>
        <w:t>As a result of a recent review, we will implement a new reimbursement policy, Emergency Room Services (R36), to update the way we process professional claims for emergency room (ER) evaluation and management (E&amp;M) services submitted with Current Procedural Terminology (CPT®) codes 99284 and 99285.</w:t>
      </w:r>
    </w:p>
    <w:p w:rsidR="00C122E2" w:rsidRDefault="00C122E2" w:rsidP="00C122E2">
      <w:pPr>
        <w:rPr>
          <w:sz w:val="24"/>
          <w:szCs w:val="24"/>
        </w:rPr>
      </w:pPr>
    </w:p>
    <w:p w:rsidR="00C122E2" w:rsidRDefault="00C122E2" w:rsidP="00C122E2">
      <w:pPr>
        <w:rPr>
          <w:sz w:val="24"/>
          <w:szCs w:val="24"/>
        </w:rPr>
      </w:pPr>
      <w:r>
        <w:rPr>
          <w:sz w:val="24"/>
          <w:szCs w:val="24"/>
        </w:rPr>
        <w:t>Effective for claims processed on or after November 14, 2021, we will adjust CPT codes 99284 and 99285 and reimburse them as 99283 when claims are submitted with a noncomplex singular diagnosis (on claims without any secondary diagnoses). This applies to claims that indicate that the customer was discharged from the ER. Denials will include administrative appeal rights.</w:t>
      </w:r>
    </w:p>
    <w:p w:rsidR="00C122E2" w:rsidRDefault="00C122E2" w:rsidP="00C122E2">
      <w:pPr>
        <w:rPr>
          <w:sz w:val="24"/>
          <w:szCs w:val="24"/>
        </w:rPr>
      </w:pPr>
    </w:p>
    <w:p w:rsidR="00C122E2" w:rsidRDefault="00C122E2" w:rsidP="00C122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information</w:t>
      </w:r>
    </w:p>
    <w:p w:rsidR="00C122E2" w:rsidRDefault="00C122E2" w:rsidP="00C122E2">
      <w:pPr>
        <w:rPr>
          <w:sz w:val="24"/>
          <w:szCs w:val="24"/>
        </w:rPr>
      </w:pPr>
      <w:r>
        <w:rPr>
          <w:sz w:val="24"/>
          <w:szCs w:val="24"/>
        </w:rPr>
        <w:t>For more information about our reimbursement policies, log in to the Cigna for Health Care Professionals website (CignaforHCP.com) &gt; Resources &gt; Reimbursement and Payment Policies &gt; Reimbursement and Modifier Policies &gt; Reimbursement Policies.</w:t>
      </w:r>
    </w:p>
    <w:p w:rsidR="00DB1364" w:rsidRDefault="00DB1364">
      <w:bookmarkStart w:id="0" w:name="_GoBack"/>
      <w:bookmarkEnd w:id="0"/>
    </w:p>
    <w:sectPr w:rsidR="00DB1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E2"/>
    <w:rsid w:val="00C122E2"/>
    <w:rsid w:val="00D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FE780-7E2A-4256-BEEA-1C363579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2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Company>Med Center Health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Racel, Lori L</dc:creator>
  <cp:keywords/>
  <dc:description/>
  <cp:lastModifiedBy>Racel, Lori L</cp:lastModifiedBy>
  <cp:revision>1</cp:revision>
  <dcterms:created xsi:type="dcterms:W3CDTF">2021-10-12T13:45:00Z</dcterms:created>
  <dcterms:modified xsi:type="dcterms:W3CDTF">2021-10-12T13:47:00Z</dcterms:modified>
</cp:coreProperties>
</file>