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E7" w:rsidRDefault="001C3BE7" w:rsidP="001C3BE7">
      <w:pPr>
        <w:autoSpaceDE w:val="0"/>
        <w:autoSpaceDN w:val="0"/>
        <w:rPr>
          <w:rFonts w:ascii="Arial" w:hAnsi="Arial" w:cs="Arial"/>
          <w:color w:val="1F4E79"/>
          <w:sz w:val="23"/>
          <w:szCs w:val="23"/>
        </w:rPr>
      </w:pPr>
      <w:r>
        <w:rPr>
          <w:rFonts w:ascii="Arial" w:hAnsi="Arial" w:cs="Arial"/>
          <w:b/>
          <w:bCs/>
          <w:color w:val="1F4E79"/>
          <w:sz w:val="23"/>
          <w:szCs w:val="23"/>
        </w:rPr>
        <w:t xml:space="preserve">Reimbursement policy update – Evaluation and management codes billed with modifier 25 and minor procedures </w:t>
      </w: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Cigna will require the submission of office notes with claims submitted with evaluation and management (E&amp;M) Current Procedural Terminology (CPT</w:t>
      </w:r>
      <w:r>
        <w:rPr>
          <w:rFonts w:ascii="Arial" w:hAnsi="Arial" w:cs="Arial"/>
          <w:color w:val="1F4E79"/>
          <w:sz w:val="20"/>
          <w:szCs w:val="20"/>
          <w:vertAlign w:val="superscript"/>
        </w:rPr>
        <w:t>®</w:t>
      </w:r>
      <w:r>
        <w:rPr>
          <w:rFonts w:ascii="Arial" w:hAnsi="Arial" w:cs="Arial"/>
          <w:color w:val="1F4E79"/>
          <w:sz w:val="20"/>
          <w:szCs w:val="20"/>
        </w:rPr>
        <w:t>) codes 99212, 99213, 99214, and 99215 and modifier 25 when a minor procedure is billed. The effective date is based on date of service, and varies based on state-regulated notice requirements:</w:t>
      </w:r>
    </w:p>
    <w:p w:rsidR="001C3BE7" w:rsidRDefault="001C3BE7" w:rsidP="001C3BE7">
      <w:pPr>
        <w:autoSpaceDE w:val="0"/>
        <w:autoSpaceDN w:val="0"/>
        <w:rPr>
          <w:rFonts w:ascii="Arial" w:hAnsi="Arial" w:cs="Arial"/>
          <w:color w:val="1F4E79"/>
          <w:sz w:val="20"/>
          <w:szCs w:val="20"/>
        </w:rPr>
      </w:pP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 </w:t>
      </w:r>
      <w:r>
        <w:rPr>
          <w:rFonts w:ascii="Arial" w:hAnsi="Arial" w:cs="Arial"/>
          <w:b/>
          <w:bCs/>
          <w:color w:val="1F4E79"/>
          <w:sz w:val="20"/>
          <w:szCs w:val="20"/>
        </w:rPr>
        <w:t xml:space="preserve">Colorado, Kentucky, Ohio, and Texas: </w:t>
      </w:r>
      <w:r>
        <w:rPr>
          <w:rFonts w:ascii="Arial" w:hAnsi="Arial" w:cs="Arial"/>
          <w:color w:val="1F4E79"/>
          <w:sz w:val="20"/>
          <w:szCs w:val="20"/>
        </w:rPr>
        <w:t xml:space="preserve">June 11 </w:t>
      </w: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 </w:t>
      </w:r>
      <w:r>
        <w:rPr>
          <w:rFonts w:ascii="Arial" w:hAnsi="Arial" w:cs="Arial"/>
          <w:b/>
          <w:bCs/>
          <w:color w:val="1F4E79"/>
          <w:sz w:val="20"/>
          <w:szCs w:val="20"/>
        </w:rPr>
        <w:t xml:space="preserve">All other states: </w:t>
      </w:r>
      <w:r>
        <w:rPr>
          <w:rFonts w:ascii="Arial" w:hAnsi="Arial" w:cs="Arial"/>
          <w:color w:val="1F4E79"/>
          <w:sz w:val="20"/>
          <w:szCs w:val="20"/>
        </w:rPr>
        <w:t xml:space="preserve">May 25 </w:t>
      </w:r>
    </w:p>
    <w:p w:rsidR="001C3BE7" w:rsidRDefault="001C3BE7" w:rsidP="001C3BE7">
      <w:pPr>
        <w:autoSpaceDE w:val="0"/>
        <w:autoSpaceDN w:val="0"/>
        <w:rPr>
          <w:rFonts w:ascii="Arial" w:hAnsi="Arial" w:cs="Arial"/>
          <w:color w:val="1F4E79"/>
          <w:sz w:val="20"/>
          <w:szCs w:val="20"/>
        </w:rPr>
      </w:pP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The E&amp;M line will be denied if Cigna does not receive documentation that supports that a significant and separately identifiable service was performed. Denials will include administrative appeal rights. </w:t>
      </w:r>
    </w:p>
    <w:p w:rsidR="001C3BE7" w:rsidRDefault="001C3BE7" w:rsidP="001C3BE7">
      <w:pPr>
        <w:autoSpaceDE w:val="0"/>
        <w:autoSpaceDN w:val="0"/>
        <w:rPr>
          <w:rFonts w:ascii="Calibri" w:hAnsi="Calibri" w:cs="Calibri"/>
          <w:color w:val="1F4E79"/>
          <w:sz w:val="22"/>
          <w:szCs w:val="22"/>
        </w:rPr>
      </w:pP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Cigna will update the Modifier 25 – Significant, Separately Identifiable Evaluation and Management Service by the Same Physician on the Same Day of the Procedure or Other Service (M25) reimbursement policy to reflect this change. </w:t>
      </w:r>
    </w:p>
    <w:p w:rsidR="001C3BE7" w:rsidRDefault="001C3BE7" w:rsidP="001C3BE7">
      <w:pPr>
        <w:autoSpaceDE w:val="0"/>
        <w:autoSpaceDN w:val="0"/>
        <w:rPr>
          <w:rFonts w:ascii="Calibri" w:hAnsi="Calibri" w:cs="Calibri"/>
          <w:color w:val="1F4E79"/>
          <w:sz w:val="22"/>
          <w:szCs w:val="22"/>
        </w:rPr>
      </w:pPr>
    </w:p>
    <w:p w:rsidR="001C3BE7" w:rsidRDefault="001C3BE7" w:rsidP="001C3BE7">
      <w:pPr>
        <w:autoSpaceDE w:val="0"/>
        <w:autoSpaceDN w:val="0"/>
        <w:rPr>
          <w:rFonts w:ascii="Arial" w:hAnsi="Arial" w:cs="Arial"/>
          <w:color w:val="1F4E79"/>
          <w:sz w:val="20"/>
          <w:szCs w:val="20"/>
        </w:rPr>
      </w:pPr>
      <w:r>
        <w:rPr>
          <w:rFonts w:ascii="Arial" w:hAnsi="Arial" w:cs="Arial"/>
          <w:b/>
          <w:bCs/>
          <w:color w:val="1F4E79"/>
          <w:sz w:val="20"/>
          <w:szCs w:val="20"/>
        </w:rPr>
        <w:t xml:space="preserve">Additional information </w:t>
      </w: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Affected providers will be notified by March 10. Information about this update will be included in the second quarter 2023 issue of </w:t>
      </w:r>
      <w:r>
        <w:rPr>
          <w:rFonts w:ascii="Arial" w:hAnsi="Arial" w:cs="Arial"/>
          <w:i/>
          <w:iCs/>
          <w:color w:val="1F4E79"/>
          <w:sz w:val="20"/>
          <w:szCs w:val="20"/>
        </w:rPr>
        <w:t>Network News</w:t>
      </w:r>
      <w:r>
        <w:rPr>
          <w:rFonts w:ascii="Arial" w:hAnsi="Arial" w:cs="Arial"/>
          <w:color w:val="1F4E79"/>
          <w:sz w:val="20"/>
          <w:szCs w:val="20"/>
        </w:rPr>
        <w:t xml:space="preserve">, and posted on the Cigna for Health Care Professionals website (CignaforHCP.com). </w:t>
      </w:r>
    </w:p>
    <w:p w:rsidR="001C3BE7" w:rsidRDefault="001C3BE7" w:rsidP="001C3BE7">
      <w:pPr>
        <w:autoSpaceDE w:val="0"/>
        <w:autoSpaceDN w:val="0"/>
        <w:rPr>
          <w:rFonts w:ascii="Arial" w:hAnsi="Arial" w:cs="Arial"/>
          <w:color w:val="1F4E79"/>
        </w:rPr>
      </w:pPr>
    </w:p>
    <w:p w:rsidR="001C3BE7" w:rsidRDefault="001C3BE7" w:rsidP="001C3BE7">
      <w:pPr>
        <w:autoSpaceDE w:val="0"/>
        <w:autoSpaceDN w:val="0"/>
        <w:rPr>
          <w:rFonts w:ascii="Arial" w:hAnsi="Arial" w:cs="Arial"/>
          <w:color w:val="1F4E79"/>
          <w:sz w:val="20"/>
          <w:szCs w:val="20"/>
        </w:rPr>
      </w:pPr>
      <w:r>
        <w:rPr>
          <w:rFonts w:ascii="Arial" w:hAnsi="Arial" w:cs="Arial"/>
          <w:b/>
          <w:bCs/>
          <w:color w:val="1F4E79"/>
          <w:sz w:val="20"/>
          <w:szCs w:val="20"/>
        </w:rPr>
        <w:t xml:space="preserve">Provider Communications Update March 1, 2023 </w:t>
      </w:r>
    </w:p>
    <w:p w:rsidR="001C3BE7" w:rsidRDefault="001C3BE7" w:rsidP="001C3BE7">
      <w:pPr>
        <w:autoSpaceDE w:val="0"/>
        <w:autoSpaceDN w:val="0"/>
        <w:rPr>
          <w:rFonts w:ascii="Arial" w:hAnsi="Arial" w:cs="Arial"/>
          <w:color w:val="1F4E79"/>
          <w:sz w:val="23"/>
          <w:szCs w:val="23"/>
        </w:rPr>
      </w:pPr>
      <w:r>
        <w:rPr>
          <w:rFonts w:ascii="Arial" w:hAnsi="Arial" w:cs="Arial"/>
          <w:b/>
          <w:bCs/>
          <w:color w:val="1F4E79"/>
          <w:sz w:val="23"/>
          <w:szCs w:val="23"/>
        </w:rPr>
        <w:t xml:space="preserve">Reimbursement policy update – Revenue codes 270–279 billed without a procedure code </w:t>
      </w: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Cigna will implement a new reimbursement policy, Revenue Code Billing Requirements (R41), to administratively deny revenue codes 270–279 when billed without a procedure code. Revenue codes 270–279 are used to bill for medical and surgical supplies and devices, including prosthetics and orthotics, pacemaker supplies, and implants. The effective date is based on date of service and varies based on state-regulated notice requirements: </w:t>
      </w:r>
    </w:p>
    <w:p w:rsidR="001C3BE7" w:rsidRDefault="001C3BE7" w:rsidP="001C3BE7">
      <w:pPr>
        <w:autoSpaceDE w:val="0"/>
        <w:autoSpaceDN w:val="0"/>
        <w:rPr>
          <w:rFonts w:ascii="Calibri" w:hAnsi="Calibri" w:cs="Calibri"/>
          <w:color w:val="1F4E79"/>
          <w:sz w:val="22"/>
          <w:szCs w:val="22"/>
        </w:rPr>
      </w:pP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 </w:t>
      </w:r>
      <w:r>
        <w:rPr>
          <w:rFonts w:ascii="Arial" w:hAnsi="Arial" w:cs="Arial"/>
          <w:b/>
          <w:bCs/>
          <w:color w:val="1F4E79"/>
          <w:sz w:val="20"/>
          <w:szCs w:val="20"/>
        </w:rPr>
        <w:t xml:space="preserve">Colorado, Kentucky, Ohio, and Texas: </w:t>
      </w:r>
      <w:r>
        <w:rPr>
          <w:rFonts w:ascii="Arial" w:hAnsi="Arial" w:cs="Arial"/>
          <w:color w:val="1F4E79"/>
          <w:sz w:val="20"/>
          <w:szCs w:val="20"/>
        </w:rPr>
        <w:t xml:space="preserve">June 1 </w:t>
      </w: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 </w:t>
      </w:r>
      <w:r>
        <w:rPr>
          <w:rFonts w:ascii="Arial" w:hAnsi="Arial" w:cs="Arial"/>
          <w:b/>
          <w:bCs/>
          <w:color w:val="1F4E79"/>
          <w:sz w:val="20"/>
          <w:szCs w:val="20"/>
        </w:rPr>
        <w:t xml:space="preserve">All other states: </w:t>
      </w:r>
      <w:r>
        <w:rPr>
          <w:rFonts w:ascii="Arial" w:hAnsi="Arial" w:cs="Arial"/>
          <w:color w:val="1F4E79"/>
          <w:sz w:val="20"/>
          <w:szCs w:val="20"/>
        </w:rPr>
        <w:t xml:space="preserve">May 1 </w:t>
      </w:r>
    </w:p>
    <w:p w:rsidR="001C3BE7" w:rsidRDefault="001C3BE7" w:rsidP="001C3BE7">
      <w:pPr>
        <w:autoSpaceDE w:val="0"/>
        <w:autoSpaceDN w:val="0"/>
        <w:rPr>
          <w:rFonts w:ascii="Arial" w:hAnsi="Arial" w:cs="Arial"/>
          <w:color w:val="1F4E79"/>
          <w:sz w:val="20"/>
          <w:szCs w:val="20"/>
        </w:rPr>
      </w:pPr>
    </w:p>
    <w:p w:rsidR="001C3BE7" w:rsidRDefault="001C3BE7" w:rsidP="001C3BE7">
      <w:pPr>
        <w:autoSpaceDE w:val="0"/>
        <w:autoSpaceDN w:val="0"/>
        <w:rPr>
          <w:rFonts w:ascii="Arial" w:hAnsi="Arial" w:cs="Arial"/>
          <w:color w:val="1F4E79"/>
          <w:sz w:val="20"/>
          <w:szCs w:val="20"/>
        </w:rPr>
      </w:pPr>
      <w:r>
        <w:rPr>
          <w:rFonts w:ascii="Arial" w:hAnsi="Arial" w:cs="Arial"/>
          <w:color w:val="1F4E79"/>
          <w:sz w:val="20"/>
          <w:szCs w:val="20"/>
        </w:rPr>
        <w:t xml:space="preserve">Denials will include administrative appeal rights. </w:t>
      </w:r>
    </w:p>
    <w:p w:rsidR="001C3BE7" w:rsidRDefault="001C3BE7" w:rsidP="001C3BE7">
      <w:pPr>
        <w:autoSpaceDE w:val="0"/>
        <w:autoSpaceDN w:val="0"/>
        <w:rPr>
          <w:rFonts w:ascii="Calibri" w:hAnsi="Calibri" w:cs="Calibri"/>
          <w:color w:val="1F4E79"/>
          <w:sz w:val="22"/>
          <w:szCs w:val="22"/>
        </w:rPr>
      </w:pPr>
    </w:p>
    <w:p w:rsidR="001C3BE7" w:rsidRDefault="001C3BE7" w:rsidP="001C3BE7">
      <w:pPr>
        <w:autoSpaceDE w:val="0"/>
        <w:autoSpaceDN w:val="0"/>
        <w:rPr>
          <w:rFonts w:ascii="Arial" w:hAnsi="Arial" w:cs="Arial"/>
          <w:color w:val="1F4E79"/>
          <w:sz w:val="20"/>
          <w:szCs w:val="20"/>
        </w:rPr>
      </w:pPr>
      <w:r>
        <w:rPr>
          <w:rFonts w:ascii="Arial" w:hAnsi="Arial" w:cs="Arial"/>
          <w:b/>
          <w:bCs/>
          <w:color w:val="1F4E79"/>
          <w:sz w:val="20"/>
          <w:szCs w:val="20"/>
        </w:rPr>
        <w:t xml:space="preserve">Additional information </w:t>
      </w:r>
    </w:p>
    <w:p w:rsidR="00AF4CBE" w:rsidRDefault="001C3BE7" w:rsidP="001C3BE7">
      <w:r>
        <w:rPr>
          <w:rFonts w:ascii="Arial" w:hAnsi="Arial" w:cs="Arial"/>
          <w:color w:val="1F4E79"/>
          <w:sz w:val="20"/>
          <w:szCs w:val="20"/>
        </w:rPr>
        <w:t xml:space="preserve">Affected providers will be notified by March 1. Information about this update will be included in the second quarter 2023 issue of </w:t>
      </w:r>
      <w:r>
        <w:rPr>
          <w:rFonts w:ascii="Arial" w:hAnsi="Arial" w:cs="Arial"/>
          <w:i/>
          <w:iCs/>
          <w:color w:val="1F4E79"/>
          <w:sz w:val="20"/>
          <w:szCs w:val="20"/>
        </w:rPr>
        <w:t>Network News</w:t>
      </w:r>
      <w:r>
        <w:rPr>
          <w:rFonts w:ascii="Arial" w:hAnsi="Arial" w:cs="Arial"/>
          <w:color w:val="1F4E79"/>
          <w:sz w:val="20"/>
          <w:szCs w:val="20"/>
        </w:rPr>
        <w:t>, and posted on the Cigna for Health Care Professionals website (CignaforHCP.com).</w:t>
      </w:r>
      <w:bookmarkStart w:id="0" w:name="_GoBack"/>
      <w:bookmarkEnd w:id="0"/>
    </w:p>
    <w:sectPr w:rsidR="00AF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E7"/>
    <w:rsid w:val="001C3BE7"/>
    <w:rsid w:val="00A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9FD44-4E03-4BA8-B544-97F7C69E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E7"/>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2023-03-23T18:55:00Z</dcterms:created>
  <dcterms:modified xsi:type="dcterms:W3CDTF">2023-03-23T18:56:00Z</dcterms:modified>
</cp:coreProperties>
</file>