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4A0" w:firstRow="1" w:lastRow="0" w:firstColumn="1" w:lastColumn="0" w:noHBand="0" w:noVBand="1"/>
      </w:tblPr>
      <w:tblGrid>
        <w:gridCol w:w="9360"/>
      </w:tblGrid>
      <w:tr w:rsidR="00F60E1A" w:rsidTr="00F60E1A">
        <w:trPr>
          <w:tblCellSpacing w:w="0" w:type="dxa"/>
        </w:trPr>
        <w:tc>
          <w:tcPr>
            <w:tcW w:w="0" w:type="auto"/>
            <w:vAlign w:val="center"/>
            <w:hideMark/>
          </w:tcPr>
          <w:p w:rsidR="00F60E1A" w:rsidRDefault="00F60E1A">
            <w:pPr>
              <w:spacing w:line="0" w:lineRule="atLeast"/>
              <w:rPr>
                <w:rFonts w:eastAsia="Times New Roman"/>
                <w:sz w:val="2"/>
                <w:szCs w:val="2"/>
              </w:rPr>
            </w:pPr>
            <w:r>
              <w:rPr>
                <w:rFonts w:eastAsia="Times New Roman"/>
                <w:noProof/>
                <w:color w:val="0000FF"/>
                <w:sz w:val="2"/>
                <w:szCs w:val="2"/>
              </w:rPr>
              <w:drawing>
                <wp:inline distT="0" distB="0" distL="0" distR="0">
                  <wp:extent cx="1295400" cy="685800"/>
                  <wp:effectExtent l="0" t="0" r="0" b="0"/>
                  <wp:docPr id="3" name="Picture 3" descr="Cigna">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gn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95400" cy="685800"/>
                          </a:xfrm>
                          <a:prstGeom prst="rect">
                            <a:avLst/>
                          </a:prstGeom>
                          <a:noFill/>
                          <a:ln>
                            <a:noFill/>
                          </a:ln>
                        </pic:spPr>
                      </pic:pic>
                    </a:graphicData>
                  </a:graphic>
                </wp:inline>
              </w:drawing>
            </w:r>
          </w:p>
        </w:tc>
      </w:tr>
      <w:tr w:rsidR="00F60E1A" w:rsidTr="00F60E1A">
        <w:trPr>
          <w:trHeight w:val="1560"/>
          <w:tblCellSpacing w:w="0" w:type="dxa"/>
        </w:trPr>
        <w:tc>
          <w:tcPr>
            <w:tcW w:w="0" w:type="auto"/>
            <w:shd w:val="clear" w:color="auto" w:fill="188CCC"/>
            <w:tcMar>
              <w:top w:w="0" w:type="dxa"/>
              <w:left w:w="300" w:type="dxa"/>
              <w:bottom w:w="0" w:type="dxa"/>
              <w:right w:w="30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760"/>
            </w:tblGrid>
            <w:tr w:rsidR="00F60E1A">
              <w:trPr>
                <w:tblCellSpacing w:w="0" w:type="dxa"/>
              </w:trPr>
              <w:tc>
                <w:tcPr>
                  <w:tcW w:w="0" w:type="auto"/>
                  <w:vAlign w:val="center"/>
                  <w:hideMark/>
                </w:tcPr>
                <w:p w:rsidR="00F60E1A" w:rsidRDefault="00F60E1A">
                  <w:pPr>
                    <w:spacing w:line="570" w:lineRule="atLeast"/>
                    <w:rPr>
                      <w:rFonts w:ascii="Arial" w:eastAsia="Times New Roman" w:hAnsi="Arial" w:cs="Arial"/>
                      <w:color w:val="FFFFFF"/>
                      <w:sz w:val="54"/>
                      <w:szCs w:val="54"/>
                    </w:rPr>
                  </w:pPr>
                  <w:r>
                    <w:rPr>
                      <w:rStyle w:val="Strong"/>
                      <w:rFonts w:ascii="Arial" w:eastAsia="Times New Roman" w:hAnsi="Arial" w:cs="Arial"/>
                      <w:color w:val="FFFFFF"/>
                      <w:sz w:val="54"/>
                      <w:szCs w:val="54"/>
                    </w:rPr>
                    <w:t>IMPORTANT INFORMATION FROM CIGNA</w:t>
                  </w:r>
                </w:p>
              </w:tc>
            </w:tr>
          </w:tbl>
          <w:p w:rsidR="00F60E1A" w:rsidRDefault="00F60E1A">
            <w:pPr>
              <w:rPr>
                <w:rFonts w:eastAsia="Times New Roman"/>
                <w:sz w:val="20"/>
                <w:szCs w:val="20"/>
              </w:rPr>
            </w:pPr>
          </w:p>
        </w:tc>
      </w:tr>
      <w:tr w:rsidR="00F60E1A" w:rsidTr="00F60E1A">
        <w:trPr>
          <w:trHeight w:val="780"/>
          <w:tblCellSpacing w:w="0" w:type="dxa"/>
        </w:trPr>
        <w:tc>
          <w:tcPr>
            <w:tcW w:w="0" w:type="auto"/>
            <w:shd w:val="clear" w:color="auto" w:fill="004986"/>
            <w:tcMar>
              <w:top w:w="0" w:type="dxa"/>
              <w:left w:w="300" w:type="dxa"/>
              <w:bottom w:w="0" w:type="dxa"/>
              <w:right w:w="300" w:type="dxa"/>
            </w:tcMar>
            <w:vAlign w:val="center"/>
            <w:hideMark/>
          </w:tcPr>
          <w:p w:rsidR="00F60E1A" w:rsidRDefault="00F60E1A">
            <w:pPr>
              <w:pStyle w:val="NormalWeb"/>
              <w:spacing w:before="0" w:beforeAutospacing="0" w:after="0" w:afterAutospacing="0" w:line="240" w:lineRule="atLeast"/>
              <w:textAlignment w:val="center"/>
              <w:rPr>
                <w:rFonts w:ascii="Arial" w:hAnsi="Arial" w:cs="Arial"/>
                <w:sz w:val="21"/>
                <w:szCs w:val="21"/>
              </w:rPr>
            </w:pPr>
            <w:r>
              <w:rPr>
                <w:rStyle w:val="Strong"/>
                <w:rFonts w:ascii="Arial" w:hAnsi="Arial" w:cs="Arial"/>
                <w:color w:val="FFFFFF"/>
                <w:sz w:val="21"/>
                <w:szCs w:val="21"/>
              </w:rPr>
              <w:t xml:space="preserve">Cigna's continued COVID-19 accommodations </w:t>
            </w:r>
          </w:p>
        </w:tc>
      </w:tr>
      <w:tr w:rsidR="00F60E1A" w:rsidTr="00F60E1A">
        <w:trPr>
          <w:tblCellSpacing w:w="0" w:type="dxa"/>
        </w:trPr>
        <w:tc>
          <w:tcPr>
            <w:tcW w:w="0" w:type="auto"/>
            <w:shd w:val="clear" w:color="auto" w:fill="FFFFFF"/>
            <w:tcMar>
              <w:top w:w="375" w:type="dxa"/>
              <w:left w:w="300" w:type="dxa"/>
              <w:bottom w:w="525" w:type="dxa"/>
              <w:right w:w="60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60"/>
            </w:tblGrid>
            <w:tr w:rsidR="00F60E1A">
              <w:trPr>
                <w:tblCellSpacing w:w="0" w:type="dxa"/>
              </w:trPr>
              <w:tc>
                <w:tcPr>
                  <w:tcW w:w="0" w:type="auto"/>
                  <w:vAlign w:val="center"/>
                  <w:hideMark/>
                </w:tcPr>
                <w:p w:rsidR="00F60E1A" w:rsidRDefault="00F60E1A">
                  <w:pPr>
                    <w:spacing w:before="100" w:beforeAutospacing="1" w:after="100" w:afterAutospacing="1"/>
                    <w:ind w:right="-54"/>
                  </w:pPr>
                  <w:r>
                    <w:rPr>
                      <w:rFonts w:ascii="Arial" w:hAnsi="Arial" w:cs="Arial"/>
                      <w:sz w:val="20"/>
                      <w:szCs w:val="20"/>
                    </w:rPr>
                    <w:t>Since the COVID-19 pandemic began, Cigna has taken important steps to deliver timely accommodations to providers and customers, helping to ensure that customers have continued access to COVID-19 diagnostic services, testing, and treatment in safe settings.</w:t>
                  </w:r>
                </w:p>
                <w:p w:rsidR="00F60E1A" w:rsidRDefault="00F60E1A">
                  <w:pPr>
                    <w:spacing w:before="100" w:beforeAutospacing="1" w:after="100" w:afterAutospacing="1"/>
                    <w:ind w:right="-54"/>
                  </w:pPr>
                  <w:r>
                    <w:rPr>
                      <w:rFonts w:ascii="Arial" w:hAnsi="Arial" w:cs="Arial"/>
                      <w:b/>
                      <w:bCs/>
                      <w:color w:val="0070C0"/>
                      <w:sz w:val="20"/>
                      <w:szCs w:val="20"/>
                    </w:rPr>
                    <w:t>Reinstituting and extending interim accommodations</w:t>
                  </w:r>
                </w:p>
                <w:p w:rsidR="00F60E1A" w:rsidRDefault="00F60E1A">
                  <w:pPr>
                    <w:rPr>
                      <w:rFonts w:eastAsia="Times New Roman"/>
                    </w:rPr>
                  </w:pPr>
                  <w:r>
                    <w:rPr>
                      <w:rFonts w:ascii="Arial" w:eastAsia="Times New Roman" w:hAnsi="Arial" w:cs="Arial"/>
                      <w:sz w:val="20"/>
                      <w:szCs w:val="20"/>
                    </w:rPr>
                    <w:t>With the recent surge of COVID-19 cases resulting in increased strain on providers, we are making a number of accommodations to support you.</w:t>
                  </w:r>
                </w:p>
                <w:p w:rsidR="00F60E1A" w:rsidRDefault="00F60E1A" w:rsidP="00382488">
                  <w:pPr>
                    <w:numPr>
                      <w:ilvl w:val="0"/>
                      <w:numId w:val="1"/>
                    </w:numPr>
                    <w:spacing w:before="100" w:beforeAutospacing="1" w:after="100" w:afterAutospacing="1"/>
                    <w:rPr>
                      <w:rFonts w:eastAsia="Times New Roman"/>
                    </w:rPr>
                  </w:pPr>
                  <w:r>
                    <w:rPr>
                      <w:rFonts w:ascii="Arial" w:eastAsia="Times New Roman" w:hAnsi="Arial" w:cs="Arial"/>
                      <w:sz w:val="20"/>
                      <w:szCs w:val="20"/>
                    </w:rPr>
                    <w:t xml:space="preserve">The facility-to-facility transfer authorization waiver for Cigna commercial and Cigna Medicare Advantage customers has been reinstituted, and is in place effective immediately for all transferring facilities through March 31, 2022. </w:t>
                  </w:r>
                </w:p>
                <w:p w:rsidR="00F60E1A" w:rsidRDefault="00F60E1A" w:rsidP="00382488">
                  <w:pPr>
                    <w:numPr>
                      <w:ilvl w:val="0"/>
                      <w:numId w:val="1"/>
                    </w:numPr>
                    <w:spacing w:before="100" w:beforeAutospacing="1" w:after="100" w:afterAutospacing="1"/>
                    <w:rPr>
                      <w:rFonts w:eastAsia="Times New Roman"/>
                    </w:rPr>
                  </w:pPr>
                  <w:r>
                    <w:rPr>
                      <w:rFonts w:ascii="Arial" w:eastAsia="Times New Roman" w:hAnsi="Arial" w:cs="Arial"/>
                      <w:sz w:val="20"/>
                      <w:szCs w:val="20"/>
                    </w:rPr>
                    <w:t>Interim credentialing accommodations are extended through March 31, 2022.</w:t>
                  </w:r>
                </w:p>
                <w:p w:rsidR="00F60E1A" w:rsidRDefault="00F60E1A" w:rsidP="00382488">
                  <w:pPr>
                    <w:numPr>
                      <w:ilvl w:val="0"/>
                      <w:numId w:val="1"/>
                    </w:numPr>
                    <w:spacing w:before="100" w:beforeAutospacing="1" w:after="100" w:afterAutospacing="1"/>
                    <w:rPr>
                      <w:rFonts w:eastAsia="Times New Roman"/>
                    </w:rPr>
                  </w:pPr>
                  <w:r>
                    <w:rPr>
                      <w:rFonts w:ascii="Arial" w:eastAsia="Times New Roman" w:hAnsi="Arial" w:cs="Arial"/>
                      <w:sz w:val="20"/>
                      <w:szCs w:val="20"/>
                    </w:rPr>
                    <w:t>The authorization approval window will be extended from three months to six months on request from a provider.</w:t>
                  </w:r>
                </w:p>
                <w:p w:rsidR="00F60E1A" w:rsidRDefault="00F60E1A">
                  <w:pPr>
                    <w:spacing w:before="100" w:beforeAutospacing="1" w:after="100" w:afterAutospacing="1"/>
                    <w:ind w:right="36"/>
                  </w:pPr>
                  <w:r>
                    <w:rPr>
                      <w:rFonts w:ascii="Arial" w:hAnsi="Arial" w:cs="Arial"/>
                      <w:b/>
                      <w:bCs/>
                      <w:color w:val="0070C0"/>
                      <w:sz w:val="20"/>
                      <w:szCs w:val="20"/>
                    </w:rPr>
                    <w:t>Billing place of service 10 for virtual care services</w:t>
                  </w:r>
                </w:p>
                <w:p w:rsidR="00F60E1A" w:rsidRDefault="00F60E1A">
                  <w:pPr>
                    <w:pStyle w:val="NoSpacing"/>
                  </w:pPr>
                  <w:r>
                    <w:rPr>
                      <w:rFonts w:ascii="Arial" w:hAnsi="Arial" w:cs="Arial"/>
                      <w:sz w:val="20"/>
                      <w:szCs w:val="20"/>
                    </w:rPr>
                    <w:t xml:space="preserve">CMS </w:t>
                  </w:r>
                  <w:hyperlink r:id="rId7" w:history="1">
                    <w:r>
                      <w:rPr>
                        <w:rStyle w:val="Hyperlink"/>
                        <w:rFonts w:ascii="Arial" w:hAnsi="Arial" w:cs="Arial"/>
                        <w:color w:val="0000FF"/>
                        <w:sz w:val="20"/>
                        <w:szCs w:val="20"/>
                        <w:u w:val="single"/>
                      </w:rPr>
                      <w:t>recently announced</w:t>
                    </w:r>
                  </w:hyperlink>
                  <w:r>
                    <w:rPr>
                      <w:rFonts w:ascii="Arial" w:hAnsi="Arial" w:cs="Arial"/>
                      <w:sz w:val="20"/>
                      <w:szCs w:val="20"/>
                    </w:rPr>
                    <w:t xml:space="preserve"> updates to their place of service (POS) guidelines for virtual care by revising the description of existing POS code 02 and adding new POS code 10. CMS has indicated POS 10 is effective January 1, 2022, but will not be available to bill for Medicare until April 1, 2022.</w:t>
                  </w:r>
                </w:p>
                <w:p w:rsidR="00F60E1A" w:rsidRDefault="00F60E1A">
                  <w:pPr>
                    <w:pStyle w:val="NoSpacing"/>
                  </w:pPr>
                  <w:r>
                    <w:rPr>
                      <w:rFonts w:ascii="Arial" w:hAnsi="Arial" w:cs="Arial"/>
                      <w:sz w:val="20"/>
                      <w:szCs w:val="20"/>
                    </w:rPr>
                    <w:t>In the interim, Cigna commercial still asks providers to bill with a typical face-to-face place of service (e.g., POS 11), and to not bill POS 10 until further notice. This will help ensure that providers continue to receive face-to-face reimbursement rates. Cigna Medicare Advantage expects to align with CMS guidelines to accept POS 10 on April 1, 2022.</w:t>
                  </w:r>
                </w:p>
                <w:p w:rsidR="00F60E1A" w:rsidRDefault="00F60E1A">
                  <w:pPr>
                    <w:spacing w:before="100" w:beforeAutospacing="1" w:after="100" w:afterAutospacing="1"/>
                    <w:ind w:right="36"/>
                  </w:pPr>
                  <w:proofErr w:type="spellStart"/>
                  <w:r>
                    <w:rPr>
                      <w:rFonts w:ascii="Arial" w:hAnsi="Arial" w:cs="Arial"/>
                      <w:b/>
                      <w:bCs/>
                      <w:color w:val="0070C0"/>
                      <w:sz w:val="20"/>
                      <w:szCs w:val="20"/>
                    </w:rPr>
                    <w:t>eConsult</w:t>
                  </w:r>
                  <w:proofErr w:type="spellEnd"/>
                  <w:r>
                    <w:rPr>
                      <w:rFonts w:ascii="Arial" w:hAnsi="Arial" w:cs="Arial"/>
                      <w:b/>
                      <w:bCs/>
                      <w:color w:val="0070C0"/>
                      <w:sz w:val="20"/>
                      <w:szCs w:val="20"/>
                    </w:rPr>
                    <w:t xml:space="preserve"> services remain covered, but cost-share now applies</w:t>
                  </w:r>
                </w:p>
                <w:p w:rsidR="00F60E1A" w:rsidRDefault="00F60E1A">
                  <w:pPr>
                    <w:spacing w:before="100" w:beforeAutospacing="1" w:after="100" w:afterAutospacing="1"/>
                    <w:ind w:right="-150"/>
                  </w:pPr>
                  <w:r>
                    <w:rPr>
                      <w:rFonts w:ascii="Arial" w:hAnsi="Arial" w:cs="Arial"/>
                      <w:sz w:val="20"/>
                      <w:szCs w:val="20"/>
                    </w:rPr>
                    <w:t xml:space="preserve">Throughout the pandemic, we have covered certain </w:t>
                  </w:r>
                  <w:proofErr w:type="spellStart"/>
                  <w:r>
                    <w:rPr>
                      <w:rFonts w:ascii="Arial" w:hAnsi="Arial" w:cs="Arial"/>
                      <w:sz w:val="20"/>
                      <w:szCs w:val="20"/>
                    </w:rPr>
                    <w:t>eConsult</w:t>
                  </w:r>
                  <w:proofErr w:type="spellEnd"/>
                  <w:r>
                    <w:rPr>
                      <w:rFonts w:ascii="Arial" w:hAnsi="Arial" w:cs="Arial"/>
                      <w:sz w:val="20"/>
                      <w:szCs w:val="20"/>
                    </w:rPr>
                    <w:t xml:space="preserve"> codes without customer cost-share. Please note that while these codes continue to be covered as part of our interim COVID-19 guidelines, cost-share now applies for all commercial </w:t>
                  </w:r>
                  <w:proofErr w:type="spellStart"/>
                  <w:r>
                    <w:rPr>
                      <w:rFonts w:ascii="Arial" w:hAnsi="Arial" w:cs="Arial"/>
                      <w:sz w:val="20"/>
                      <w:szCs w:val="20"/>
                    </w:rPr>
                    <w:t>eConsult</w:t>
                  </w:r>
                  <w:proofErr w:type="spellEnd"/>
                  <w:r>
                    <w:rPr>
                      <w:rFonts w:ascii="Arial" w:hAnsi="Arial" w:cs="Arial"/>
                      <w:sz w:val="20"/>
                      <w:szCs w:val="20"/>
                    </w:rPr>
                    <w:t xml:space="preserve"> services, effective January 1, 2022. </w:t>
                  </w:r>
                </w:p>
                <w:p w:rsidR="00F60E1A" w:rsidRDefault="00F60E1A">
                  <w:pPr>
                    <w:spacing w:before="100" w:beforeAutospacing="1" w:after="100" w:afterAutospacing="1"/>
                    <w:ind w:right="-150"/>
                  </w:pPr>
                  <w:r>
                    <w:rPr>
                      <w:rFonts w:ascii="Arial" w:hAnsi="Arial" w:cs="Arial"/>
                      <w:sz w:val="20"/>
                      <w:szCs w:val="20"/>
                    </w:rPr>
                    <w:lastRenderedPageBreak/>
                    <w:t xml:space="preserve">We therefore encourage providers who intend to leverage an </w:t>
                  </w:r>
                  <w:proofErr w:type="spellStart"/>
                  <w:r>
                    <w:rPr>
                      <w:rFonts w:ascii="Arial" w:hAnsi="Arial" w:cs="Arial"/>
                      <w:sz w:val="20"/>
                      <w:szCs w:val="20"/>
                    </w:rPr>
                    <w:t>eConsult</w:t>
                  </w:r>
                  <w:proofErr w:type="spellEnd"/>
                  <w:r>
                    <w:rPr>
                      <w:rFonts w:ascii="Arial" w:hAnsi="Arial" w:cs="Arial"/>
                      <w:sz w:val="20"/>
                      <w:szCs w:val="20"/>
                    </w:rPr>
                    <w:t xml:space="preserve"> to obtain consent from their patients prior to initiating an </w:t>
                  </w:r>
                  <w:proofErr w:type="spellStart"/>
                  <w:r>
                    <w:rPr>
                      <w:rFonts w:ascii="Arial" w:hAnsi="Arial" w:cs="Arial"/>
                      <w:sz w:val="20"/>
                      <w:szCs w:val="20"/>
                    </w:rPr>
                    <w:t>eConsult</w:t>
                  </w:r>
                  <w:proofErr w:type="spellEnd"/>
                  <w:r>
                    <w:rPr>
                      <w:rFonts w:ascii="Arial" w:hAnsi="Arial" w:cs="Arial"/>
                      <w:sz w:val="20"/>
                      <w:szCs w:val="20"/>
                    </w:rPr>
                    <w:t xml:space="preserve"> with another provider. This will help avoid any surprise billing scenarios for your patients with commercial Cigna coverage. </w:t>
                  </w:r>
                </w:p>
                <w:p w:rsidR="00F60E1A" w:rsidRDefault="00F60E1A">
                  <w:pPr>
                    <w:spacing w:before="100" w:beforeAutospacing="1" w:after="100" w:afterAutospacing="1"/>
                    <w:ind w:right="36"/>
                  </w:pPr>
                  <w:r>
                    <w:rPr>
                      <w:rFonts w:ascii="Arial" w:hAnsi="Arial" w:cs="Arial"/>
                      <w:b/>
                      <w:bCs/>
                      <w:color w:val="0070C0"/>
                      <w:sz w:val="20"/>
                      <w:szCs w:val="20"/>
                    </w:rPr>
                    <w:t>Submitting vaccine administration claims for patients with Medicare Advantage plans</w:t>
                  </w:r>
                </w:p>
                <w:p w:rsidR="00F60E1A" w:rsidRDefault="00F60E1A">
                  <w:pPr>
                    <w:spacing w:before="100" w:beforeAutospacing="1" w:after="100" w:afterAutospacing="1"/>
                  </w:pPr>
                  <w:r>
                    <w:rPr>
                      <w:rFonts w:ascii="Arial" w:hAnsi="Arial" w:cs="Arial"/>
                      <w:sz w:val="20"/>
                      <w:szCs w:val="20"/>
                    </w:rPr>
                    <w:t>For 2020 and 2021, Medicare payment for COVID-19 vaccine administration for beneficiaries enrolled in Medicare Advantage plans were made through the original fee-for-service Medicare program. CMS asked providers to submit claims for administering the COVID-19 vaccine to the CMS Medicare Administrative Contractor (MAC) using product-specific codes for each vaccine approved.</w:t>
                  </w:r>
                </w:p>
                <w:p w:rsidR="00F60E1A" w:rsidRDefault="00F60E1A">
                  <w:pPr>
                    <w:spacing w:before="100" w:beforeAutospacing="1" w:after="100" w:afterAutospacing="1"/>
                  </w:pPr>
                  <w:r>
                    <w:rPr>
                      <w:rFonts w:ascii="Arial" w:hAnsi="Arial" w:cs="Arial"/>
                      <w:sz w:val="20"/>
                      <w:szCs w:val="20"/>
                    </w:rPr>
                    <w:t>However, as of January 1, 2022, providers should submit vaccine administration claims directly to Cigna Medicare Advantage for patients enrolled in a Cigna Medicare Advantage plan.</w:t>
                  </w:r>
                </w:p>
                <w:p w:rsidR="00F60E1A" w:rsidRDefault="00F60E1A">
                  <w:pPr>
                    <w:spacing w:before="100" w:beforeAutospacing="1" w:after="100" w:afterAutospacing="1"/>
                    <w:ind w:right="36"/>
                  </w:pPr>
                  <w:r>
                    <w:rPr>
                      <w:rFonts w:ascii="Arial" w:hAnsi="Arial" w:cs="Arial"/>
                      <w:b/>
                      <w:bCs/>
                      <w:color w:val="0070C0"/>
                      <w:sz w:val="20"/>
                      <w:szCs w:val="20"/>
                    </w:rPr>
                    <w:t>Get all the latest updates</w:t>
                  </w:r>
                </w:p>
                <w:p w:rsidR="00F60E1A" w:rsidRDefault="00F60E1A">
                  <w:pPr>
                    <w:spacing w:before="100" w:beforeAutospacing="1" w:after="100" w:afterAutospacing="1"/>
                    <w:ind w:right="36"/>
                  </w:pPr>
                  <w:r>
                    <w:rPr>
                      <w:rFonts w:ascii="Arial" w:hAnsi="Arial" w:cs="Arial"/>
                      <w:sz w:val="20"/>
                      <w:szCs w:val="20"/>
                    </w:rPr>
                    <w:t xml:space="preserve">We updated our dedicated </w:t>
                  </w:r>
                  <w:hyperlink r:id="rId8" w:history="1">
                    <w:r>
                      <w:rPr>
                        <w:rStyle w:val="Hyperlink"/>
                        <w:rFonts w:ascii="Arial" w:hAnsi="Arial" w:cs="Arial"/>
                        <w:color w:val="0000FF"/>
                        <w:sz w:val="20"/>
                        <w:szCs w:val="20"/>
                        <w:u w:val="single"/>
                      </w:rPr>
                      <w:t>commercial</w:t>
                    </w:r>
                  </w:hyperlink>
                  <w:r>
                    <w:rPr>
                      <w:rFonts w:ascii="Arial" w:hAnsi="Arial" w:cs="Arial"/>
                      <w:sz w:val="20"/>
                      <w:szCs w:val="20"/>
                    </w:rPr>
                    <w:t xml:space="preserve"> and </w:t>
                  </w:r>
                  <w:hyperlink r:id="rId9" w:history="1">
                    <w:r>
                      <w:rPr>
                        <w:rStyle w:val="Hyperlink"/>
                        <w:rFonts w:ascii="Arial" w:hAnsi="Arial" w:cs="Arial"/>
                        <w:color w:val="0000FF"/>
                        <w:sz w:val="20"/>
                        <w:szCs w:val="20"/>
                        <w:u w:val="single"/>
                      </w:rPr>
                      <w:t>Medicare Advantage</w:t>
                    </w:r>
                  </w:hyperlink>
                  <w:r>
                    <w:rPr>
                      <w:rFonts w:ascii="Arial" w:hAnsi="Arial" w:cs="Arial"/>
                      <w:sz w:val="20"/>
                      <w:szCs w:val="20"/>
                    </w:rPr>
                    <w:t xml:space="preserve"> COVID-19 website pages on December 29, 2021 to highlight these updates and more. Please visit the sites often to get the latest information.</w:t>
                  </w:r>
                </w:p>
                <w:p w:rsidR="00F60E1A" w:rsidRDefault="00F60E1A">
                  <w:pPr>
                    <w:spacing w:before="100" w:beforeAutospacing="1" w:after="100" w:afterAutospacing="1"/>
                    <w:ind w:right="36"/>
                  </w:pPr>
                  <w:r>
                    <w:rPr>
                      <w:rFonts w:ascii="Arial" w:hAnsi="Arial" w:cs="Arial"/>
                      <w:b/>
                      <w:bCs/>
                      <w:color w:val="0070C0"/>
                      <w:sz w:val="20"/>
                      <w:szCs w:val="20"/>
                    </w:rPr>
                    <w:t>Thank you again for the quality care you provide and for all that you’re doing to help our customers. </w:t>
                  </w:r>
                </w:p>
                <w:tbl>
                  <w:tblPr>
                    <w:tblW w:w="5000" w:type="pct"/>
                    <w:tblCellSpacing w:w="0" w:type="dxa"/>
                    <w:tblCellMar>
                      <w:left w:w="0" w:type="dxa"/>
                      <w:right w:w="0" w:type="dxa"/>
                    </w:tblCellMar>
                    <w:tblLook w:val="04A0" w:firstRow="1" w:lastRow="0" w:firstColumn="1" w:lastColumn="0" w:noHBand="0" w:noVBand="1"/>
                  </w:tblPr>
                  <w:tblGrid>
                    <w:gridCol w:w="8460"/>
                  </w:tblGrid>
                  <w:tr w:rsidR="00F60E1A">
                    <w:trPr>
                      <w:tblCellSpacing w:w="0" w:type="dxa"/>
                    </w:trPr>
                    <w:tc>
                      <w:tcPr>
                        <w:tcW w:w="0" w:type="auto"/>
                        <w:vAlign w:val="center"/>
                        <w:hideMark/>
                      </w:tcPr>
                      <w:p w:rsidR="00F60E1A" w:rsidRDefault="00F60E1A">
                        <w:pPr>
                          <w:spacing w:line="0" w:lineRule="atLeast"/>
                          <w:rPr>
                            <w:rFonts w:eastAsia="Times New Roman"/>
                            <w:sz w:val="2"/>
                            <w:szCs w:val="2"/>
                          </w:rPr>
                        </w:pPr>
                        <w:r>
                          <w:rPr>
                            <w:rFonts w:ascii="Arial" w:eastAsia="Times New Roman" w:hAnsi="Arial" w:cs="Arial"/>
                            <w:noProof/>
                            <w:color w:val="0000FF"/>
                            <w:sz w:val="20"/>
                            <w:szCs w:val="20"/>
                            <w:shd w:val="clear" w:color="auto" w:fill="FFFFFF"/>
                          </w:rPr>
                          <w:drawing>
                            <wp:inline distT="0" distB="0" distL="0" distR="0">
                              <wp:extent cx="1809750" cy="381000"/>
                              <wp:effectExtent l="0" t="0" r="0" b="0"/>
                              <wp:docPr id="2" name="Picture 2" descr="Visit CignaforHPC.com">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sit CignaforHPC.co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9750" cy="381000"/>
                                      </a:xfrm>
                                      <a:prstGeom prst="rect">
                                        <a:avLst/>
                                      </a:prstGeom>
                                      <a:noFill/>
                                      <a:ln>
                                        <a:noFill/>
                                      </a:ln>
                                    </pic:spPr>
                                  </pic:pic>
                                </a:graphicData>
                              </a:graphic>
                            </wp:inline>
                          </w:drawing>
                        </w:r>
                      </w:p>
                    </w:tc>
                  </w:tr>
                </w:tbl>
                <w:p w:rsidR="00F60E1A" w:rsidRDefault="00F60E1A">
                  <w:pPr>
                    <w:rPr>
                      <w:rFonts w:eastAsia="Times New Roman"/>
                      <w:sz w:val="20"/>
                      <w:szCs w:val="20"/>
                    </w:rPr>
                  </w:pPr>
                </w:p>
              </w:tc>
            </w:tr>
          </w:tbl>
          <w:p w:rsidR="00F60E1A" w:rsidRDefault="00F60E1A">
            <w:pPr>
              <w:rPr>
                <w:rFonts w:eastAsia="Times New Roman"/>
                <w:sz w:val="20"/>
                <w:szCs w:val="20"/>
              </w:rPr>
            </w:pPr>
          </w:p>
        </w:tc>
      </w:tr>
      <w:tr w:rsidR="00F60E1A" w:rsidTr="00F60E1A">
        <w:trPr>
          <w:tblCellSpacing w:w="0" w:type="dxa"/>
        </w:trPr>
        <w:tc>
          <w:tcPr>
            <w:tcW w:w="0" w:type="auto"/>
            <w:tcMar>
              <w:top w:w="0" w:type="dxa"/>
              <w:left w:w="120" w:type="dxa"/>
              <w:bottom w:w="0" w:type="dxa"/>
              <w:right w:w="120" w:type="dxa"/>
            </w:tcMar>
            <w:vAlign w:val="center"/>
            <w:hideMark/>
          </w:tcPr>
          <w:p w:rsidR="00F60E1A" w:rsidRDefault="00F60E1A">
            <w:pPr>
              <w:spacing w:line="0" w:lineRule="atLeast"/>
              <w:rPr>
                <w:rFonts w:eastAsia="Times New Roman"/>
                <w:sz w:val="2"/>
                <w:szCs w:val="2"/>
              </w:rPr>
            </w:pPr>
            <w:r>
              <w:rPr>
                <w:rFonts w:eastAsia="Times New Roman"/>
                <w:noProof/>
                <w:sz w:val="2"/>
                <w:szCs w:val="2"/>
              </w:rPr>
              <w:lastRenderedPageBreak/>
              <w:drawing>
                <wp:inline distT="0" distB="0" distL="0" distR="0">
                  <wp:extent cx="2038350" cy="628650"/>
                  <wp:effectExtent l="0" t="0" r="0" b="0"/>
                  <wp:docPr id="1" name="Picture 1" descr="Together, all the 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gether, all the wa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38350" cy="628650"/>
                          </a:xfrm>
                          <a:prstGeom prst="rect">
                            <a:avLst/>
                          </a:prstGeom>
                          <a:noFill/>
                          <a:ln>
                            <a:noFill/>
                          </a:ln>
                        </pic:spPr>
                      </pic:pic>
                    </a:graphicData>
                  </a:graphic>
                </wp:inline>
              </w:drawing>
            </w:r>
          </w:p>
        </w:tc>
      </w:tr>
      <w:tr w:rsidR="00F60E1A" w:rsidTr="00F60E1A">
        <w:trPr>
          <w:tblCellSpacing w:w="0" w:type="dxa"/>
        </w:trPr>
        <w:tc>
          <w:tcPr>
            <w:tcW w:w="0" w:type="auto"/>
            <w:vAlign w:val="center"/>
            <w:hideMark/>
          </w:tcPr>
          <w:tbl>
            <w:tblPr>
              <w:tblW w:w="5000" w:type="pct"/>
              <w:tblCellSpacing w:w="0" w:type="dxa"/>
              <w:shd w:val="clear" w:color="auto" w:fill="F0F0F0"/>
              <w:tblCellMar>
                <w:left w:w="0" w:type="dxa"/>
                <w:right w:w="0" w:type="dxa"/>
              </w:tblCellMar>
              <w:tblLook w:val="04A0" w:firstRow="1" w:lastRow="0" w:firstColumn="1" w:lastColumn="0" w:noHBand="0" w:noVBand="1"/>
            </w:tblPr>
            <w:tblGrid>
              <w:gridCol w:w="9360"/>
            </w:tblGrid>
            <w:tr w:rsidR="00F60E1A">
              <w:trPr>
                <w:tblCellSpacing w:w="0" w:type="dxa"/>
              </w:trPr>
              <w:tc>
                <w:tcPr>
                  <w:tcW w:w="0" w:type="auto"/>
                  <w:shd w:val="clear" w:color="auto" w:fill="F0F0F0"/>
                  <w:tcMar>
                    <w:top w:w="0" w:type="dxa"/>
                    <w:left w:w="120" w:type="dxa"/>
                    <w:bottom w:w="225" w:type="dxa"/>
                    <w:right w:w="120" w:type="dxa"/>
                  </w:tcMar>
                  <w:vAlign w:val="center"/>
                  <w:hideMark/>
                </w:tcPr>
                <w:p w:rsidR="00F60E1A" w:rsidRDefault="00F60E1A">
                  <w:pPr>
                    <w:pStyle w:val="NormalWeb"/>
                    <w:spacing w:line="225" w:lineRule="atLeast"/>
                    <w:rPr>
                      <w:rFonts w:ascii="Arial" w:hAnsi="Arial" w:cs="Arial"/>
                      <w:color w:val="4A4C4B"/>
                      <w:sz w:val="15"/>
                      <w:szCs w:val="15"/>
                    </w:rPr>
                  </w:pPr>
                  <w:r>
                    <w:rPr>
                      <w:rFonts w:ascii="Arial" w:hAnsi="Arial" w:cs="Arial"/>
                      <w:color w:val="4A4C4B"/>
                      <w:sz w:val="15"/>
                      <w:szCs w:val="15"/>
                    </w:rPr>
                    <w:t>All Cigna products and services are provided exclusively by or through operating subsidiaries of Cigna Corporation, including Cigna Health and Life Insurance Company, Connecticut General Life Insurance Company, Cigna Behavioral Health, Inc., Life Insurance Company of North America, Cigna Life Insurance Company of New York (New York, NY), and HMO or service company subsidiaries of Cigna Health Corporation and Cigna Dental Health, Inc. The Cigna name, logo, and other Cigna marks are owned by Cigna Intellectual Property, Inc.</w:t>
                  </w:r>
                </w:p>
                <w:p w:rsidR="00F60E1A" w:rsidRDefault="00F60E1A">
                  <w:pPr>
                    <w:pStyle w:val="NormalWeb"/>
                    <w:spacing w:line="225" w:lineRule="atLeast"/>
                    <w:rPr>
                      <w:rFonts w:ascii="Arial" w:hAnsi="Arial" w:cs="Arial"/>
                      <w:color w:val="4A4C4B"/>
                      <w:sz w:val="17"/>
                      <w:szCs w:val="17"/>
                    </w:rPr>
                  </w:pPr>
                  <w:hyperlink r:id="rId13" w:tgtFrame="_blank" w:history="1">
                    <w:r>
                      <w:rPr>
                        <w:rStyle w:val="Hyperlink"/>
                        <w:rFonts w:ascii="Arial" w:hAnsi="Arial" w:cs="Arial"/>
                        <w:color w:val="0000FF"/>
                        <w:sz w:val="17"/>
                        <w:szCs w:val="17"/>
                        <w:u w:val="single"/>
                      </w:rPr>
                      <w:t>Legal Disclaimer</w:t>
                    </w:r>
                  </w:hyperlink>
                  <w:r>
                    <w:rPr>
                      <w:rFonts w:ascii="Arial" w:hAnsi="Arial" w:cs="Arial"/>
                      <w:color w:val="4A4C4B"/>
                      <w:sz w:val="17"/>
                      <w:szCs w:val="17"/>
                    </w:rPr>
                    <w:t xml:space="preserve"> | </w:t>
                  </w:r>
                  <w:hyperlink r:id="rId14" w:tgtFrame="_blank" w:history="1">
                    <w:r>
                      <w:rPr>
                        <w:rStyle w:val="Hyperlink"/>
                        <w:rFonts w:ascii="Arial" w:hAnsi="Arial" w:cs="Arial"/>
                        <w:color w:val="0000FF"/>
                        <w:sz w:val="17"/>
                        <w:szCs w:val="17"/>
                        <w:u w:val="single"/>
                      </w:rPr>
                      <w:t>Privacy</w:t>
                    </w:r>
                  </w:hyperlink>
                  <w:r>
                    <w:rPr>
                      <w:rFonts w:ascii="Arial" w:hAnsi="Arial" w:cs="Arial"/>
                      <w:color w:val="4A4C4B"/>
                      <w:sz w:val="17"/>
                      <w:szCs w:val="17"/>
                    </w:rPr>
                    <w:t xml:space="preserve"> | </w:t>
                  </w:r>
                  <w:hyperlink r:id="rId15" w:tgtFrame="_blank" w:history="1">
                    <w:r>
                      <w:rPr>
                        <w:rStyle w:val="Hyperlink"/>
                        <w:rFonts w:ascii="Arial" w:hAnsi="Arial" w:cs="Arial"/>
                        <w:color w:val="0000FF"/>
                        <w:sz w:val="17"/>
                        <w:szCs w:val="17"/>
                        <w:u w:val="single"/>
                      </w:rPr>
                      <w:t>Product Disclosures</w:t>
                    </w:r>
                  </w:hyperlink>
                  <w:r>
                    <w:rPr>
                      <w:rFonts w:ascii="Arial" w:hAnsi="Arial" w:cs="Arial"/>
                      <w:color w:val="4A4C4B"/>
                      <w:sz w:val="17"/>
                      <w:szCs w:val="17"/>
                    </w:rPr>
                    <w:t xml:space="preserve"> | </w:t>
                  </w:r>
                  <w:hyperlink r:id="rId16" w:tgtFrame="_blank" w:history="1">
                    <w:r>
                      <w:rPr>
                        <w:rStyle w:val="Hyperlink"/>
                        <w:rFonts w:ascii="Arial" w:hAnsi="Arial" w:cs="Arial"/>
                        <w:color w:val="0000FF"/>
                        <w:sz w:val="17"/>
                        <w:szCs w:val="17"/>
                        <w:u w:val="single"/>
                      </w:rPr>
                      <w:t>Cigna Company Names</w:t>
                    </w:r>
                  </w:hyperlink>
                  <w:r>
                    <w:rPr>
                      <w:rFonts w:ascii="Arial" w:hAnsi="Arial" w:cs="Arial"/>
                      <w:color w:val="4A4C4B"/>
                      <w:sz w:val="17"/>
                      <w:szCs w:val="17"/>
                    </w:rPr>
                    <w:t xml:space="preserve"> | </w:t>
                  </w:r>
                </w:p>
                <w:p w:rsidR="00F60E1A" w:rsidRDefault="00F60E1A">
                  <w:pPr>
                    <w:pStyle w:val="NormalWeb"/>
                    <w:spacing w:line="225" w:lineRule="atLeast"/>
                    <w:rPr>
                      <w:rFonts w:ascii="Arial" w:hAnsi="Arial" w:cs="Arial"/>
                      <w:color w:val="4A4C4B"/>
                      <w:sz w:val="17"/>
                      <w:szCs w:val="17"/>
                    </w:rPr>
                  </w:pPr>
                  <w:hyperlink r:id="rId17" w:history="1">
                    <w:r>
                      <w:rPr>
                        <w:rStyle w:val="Hyperlink"/>
                        <w:rFonts w:ascii="Arial" w:hAnsi="Arial" w:cs="Arial"/>
                        <w:color w:val="0000FF"/>
                        <w:sz w:val="17"/>
                        <w:szCs w:val="17"/>
                        <w:u w:val="single"/>
                      </w:rPr>
                      <w:t>Unsubscribe</w:t>
                    </w:r>
                  </w:hyperlink>
                </w:p>
                <w:p w:rsidR="00F60E1A" w:rsidRDefault="00F60E1A">
                  <w:pPr>
                    <w:pStyle w:val="NormalWeb"/>
                    <w:spacing w:line="225" w:lineRule="atLeast"/>
                    <w:rPr>
                      <w:rFonts w:ascii="Arial" w:hAnsi="Arial" w:cs="Arial"/>
                      <w:color w:val="4A4C4B"/>
                      <w:sz w:val="17"/>
                      <w:szCs w:val="17"/>
                    </w:rPr>
                  </w:pPr>
                  <w:r>
                    <w:rPr>
                      <w:rFonts w:ascii="Arial" w:hAnsi="Arial" w:cs="Arial"/>
                      <w:color w:val="4A4C4B"/>
                      <w:sz w:val="17"/>
                      <w:szCs w:val="17"/>
                    </w:rPr>
                    <w:t>PCOMM-2022-019 01/2022 © 2022 Cigna. Some content provided under license.</w:t>
                  </w:r>
                </w:p>
              </w:tc>
            </w:tr>
          </w:tbl>
          <w:p w:rsidR="00F60E1A" w:rsidRDefault="00F60E1A">
            <w:pPr>
              <w:rPr>
                <w:rFonts w:eastAsia="Times New Roman"/>
                <w:sz w:val="20"/>
                <w:szCs w:val="20"/>
              </w:rPr>
            </w:pPr>
          </w:p>
        </w:tc>
      </w:tr>
    </w:tbl>
    <w:p w:rsidR="004D15BB" w:rsidRDefault="004D15BB">
      <w:bookmarkStart w:id="0" w:name="_GoBack"/>
      <w:bookmarkEnd w:id="0"/>
    </w:p>
    <w:sectPr w:rsidR="004D15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876F1"/>
    <w:multiLevelType w:val="multilevel"/>
    <w:tmpl w:val="B24206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E1A"/>
    <w:rsid w:val="004D15BB"/>
    <w:rsid w:val="00F60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2EB614-0CCF-46AE-9430-B7DB43A01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E1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60E1A"/>
  </w:style>
  <w:style w:type="paragraph" w:styleId="NormalWeb">
    <w:name w:val="Normal (Web)"/>
    <w:basedOn w:val="Normal"/>
    <w:uiPriority w:val="99"/>
    <w:semiHidden/>
    <w:unhideWhenUsed/>
    <w:rsid w:val="00F60E1A"/>
    <w:pPr>
      <w:spacing w:before="100" w:beforeAutospacing="1" w:after="100" w:afterAutospacing="1"/>
    </w:pPr>
  </w:style>
  <w:style w:type="paragraph" w:styleId="NoSpacing">
    <w:name w:val="No Spacing"/>
    <w:basedOn w:val="Normal"/>
    <w:uiPriority w:val="1"/>
    <w:qFormat/>
    <w:rsid w:val="00F60E1A"/>
    <w:pPr>
      <w:spacing w:before="100" w:beforeAutospacing="1" w:after="100" w:afterAutospacing="1"/>
    </w:pPr>
  </w:style>
  <w:style w:type="character" w:styleId="Strong">
    <w:name w:val="Strong"/>
    <w:basedOn w:val="DefaultParagraphFont"/>
    <w:uiPriority w:val="22"/>
    <w:qFormat/>
    <w:rsid w:val="00F60E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88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com/v3/__https:/wlink.graphnet.com/maximail/link.htm?trlnkid=157272A97306A207127033__;!!KZd1Y3y2zDCptWw!624br79J6e28Hp8TMDUjp8hDBNIx8HTZuve5wq1lH5p3HG7SlQXUa1N816Nclm4$" TargetMode="External"/><Relationship Id="rId13" Type="http://schemas.openxmlformats.org/officeDocument/2006/relationships/hyperlink" Target="https://urldefense.com/v3/__https:/wlink.graphnet.com/maximail/link.htm?trlnkid=157266A97306A207127033__;!!KZd1Y3y2zDCptWw!624br79J6e28Hp8TMDUjp8hDBNIx8HTZuve5wq1lH5p3HG7SlQXUa1N8hueLmqo$"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rldefense.com/v3/__https:/wlink.graphnet.com/maximail/link.htm?trlnkid=157273A97306A207127033__;!!KZd1Y3y2zDCptWw!624br79J6e28Hp8TMDUjp8hDBNIx8HTZuve5wq1lH5p3HG7SlQXUa1N8rwMR_ZU$" TargetMode="External"/><Relationship Id="rId12" Type="http://schemas.openxmlformats.org/officeDocument/2006/relationships/image" Target="media/image3.png"/><Relationship Id="rId17" Type="http://schemas.openxmlformats.org/officeDocument/2006/relationships/hyperlink" Target="https://urldefense.com/v3/__https:/wlink.graphnet.com/maximail/askunsubscribe.htm?rqstid=97306&amp;rcpid=207127033&amp;cdid=FE1059D1B1328DE9388B6018382C9EBE__;!!KZd1Y3y2zDCptWw!624br79J6e28Hp8TMDUjp8hDBNIx8HTZuve5wq1lH5p3HG7SlQXUa1N8otaXTPM$" TargetMode="External"/><Relationship Id="rId2" Type="http://schemas.openxmlformats.org/officeDocument/2006/relationships/styles" Target="styles.xml"/><Relationship Id="rId16" Type="http://schemas.openxmlformats.org/officeDocument/2006/relationships/hyperlink" Target="https://urldefense.com/v3/__https:/wlink.graphnet.com/maximail/link.htm?trlnkid=157267A97306A207127033__;!!KZd1Y3y2zDCptWw!624br79J6e28Hp8TMDUjp8hDBNIx8HTZuve5wq1lH5p3HG7SlQXUa1N8SbvDNhE$"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2.png"/><Relationship Id="rId5" Type="http://schemas.openxmlformats.org/officeDocument/2006/relationships/hyperlink" Target="https://urldefense.com/v3/__https:/wlink.graphnet.com/maximail/link.htm?trlnkid=157270A97306A207127033__;!!KZd1Y3y2zDCptWw!624br79J6e28Hp8TMDUjp8hDBNIx8HTZuve5wq1lH5p3HG7SlQXUa1N8PI6fJj4$" TargetMode="External"/><Relationship Id="rId15" Type="http://schemas.openxmlformats.org/officeDocument/2006/relationships/hyperlink" Target="https://urldefense.com/v3/__https:/wlink.graphnet.com/maximail/link.htm?trlnkid=157269A97306A207127033__;!!KZd1Y3y2zDCptWw!624br79J6e28Hp8TMDUjp8hDBNIx8HTZuve5wq1lH5p3HG7SlQXUa1N8i0Bvf8Y$" TargetMode="External"/><Relationship Id="rId10" Type="http://schemas.openxmlformats.org/officeDocument/2006/relationships/hyperlink" Target="https://urldefense.com/v3/__https:/wlink.graphnet.com/maximail/link.htm?trlnkid=157274A97306A207127033__;!!KZd1Y3y2zDCptWw!624br79J6e28Hp8TMDUjp8hDBNIx8HTZuve5wq1lH5p3HG7SlQXUa1N8C3KkLJ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urldefense.com/v3/__https:/wlink.graphnet.com/maximail/link.htm?trlnkid=157271A97306A207127033__;!!KZd1Y3y2zDCptWw!624br79J6e28Hp8TMDUjp8hDBNIx8HTZuve5wq1lH5p3HG7SlQXUa1N8IwZepzM$" TargetMode="External"/><Relationship Id="rId14" Type="http://schemas.openxmlformats.org/officeDocument/2006/relationships/hyperlink" Target="https://urldefense.com/v3/__https:/wlink.graphnet.com/maximail/link.htm?trlnkid=157268A97306A207127033__;!!KZd1Y3y2zDCptWw!624br79J6e28Hp8TMDUjp8hDBNIx8HTZuve5wq1lH5p3HG7SlQXUa1N8w1kGU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845</Words>
  <Characters>4818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Med Center Health</Company>
  <LinksUpToDate>false</LinksUpToDate>
  <CharactersWithSpaces>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Racel, Lori L</dc:creator>
  <cp:keywords/>
  <dc:description/>
  <cp:lastModifiedBy>Racel, Lori L</cp:lastModifiedBy>
  <cp:revision>1</cp:revision>
  <dcterms:created xsi:type="dcterms:W3CDTF">2022-02-11T19:21:00Z</dcterms:created>
  <dcterms:modified xsi:type="dcterms:W3CDTF">2022-02-11T19:22:00Z</dcterms:modified>
</cp:coreProperties>
</file>