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E7E7E8"/>
        <w:tblCellMar>
          <w:left w:w="0" w:type="dxa"/>
          <w:right w:w="0" w:type="dxa"/>
        </w:tblCellMar>
        <w:tblLook w:val="04A0" w:firstRow="1" w:lastRow="0" w:firstColumn="1" w:lastColumn="0" w:noHBand="0" w:noVBand="1"/>
      </w:tblPr>
      <w:tblGrid>
        <w:gridCol w:w="9360"/>
      </w:tblGrid>
      <w:tr w:rsidR="005C4424" w:rsidTr="005C4424">
        <w:tc>
          <w:tcPr>
            <w:tcW w:w="0" w:type="auto"/>
            <w:shd w:val="clear" w:color="auto" w:fill="E7E7E8"/>
            <w:hideMark/>
          </w:tcPr>
          <w:tbl>
            <w:tblPr>
              <w:tblW w:w="8700" w:type="dxa"/>
              <w:jc w:val="center"/>
              <w:tblCellMar>
                <w:left w:w="0" w:type="dxa"/>
                <w:right w:w="0" w:type="dxa"/>
              </w:tblCellMar>
              <w:tblLook w:val="04A0" w:firstRow="1" w:lastRow="0" w:firstColumn="1" w:lastColumn="0" w:noHBand="0" w:noVBand="1"/>
            </w:tblPr>
            <w:tblGrid>
              <w:gridCol w:w="8706"/>
            </w:tblGrid>
            <w:tr w:rsidR="005C4424">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706"/>
                  </w:tblGrid>
                  <w:tr w:rsidR="005C4424">
                    <w:tc>
                      <w:tcPr>
                        <w:tcW w:w="0" w:type="auto"/>
                        <w:hideMark/>
                      </w:tcPr>
                      <w:tbl>
                        <w:tblPr>
                          <w:tblW w:w="8700" w:type="dxa"/>
                          <w:tblCellMar>
                            <w:left w:w="0" w:type="dxa"/>
                            <w:right w:w="0" w:type="dxa"/>
                          </w:tblCellMar>
                          <w:tblLook w:val="04A0" w:firstRow="1" w:lastRow="0" w:firstColumn="1" w:lastColumn="0" w:noHBand="0" w:noVBand="1"/>
                        </w:tblPr>
                        <w:tblGrid>
                          <w:gridCol w:w="4347"/>
                          <w:gridCol w:w="4347"/>
                          <w:gridCol w:w="6"/>
                        </w:tblGrid>
                        <w:tr w:rsidR="005C4424">
                          <w:tc>
                            <w:tcPr>
                              <w:tcW w:w="2500" w:type="pct"/>
                              <w:tcMar>
                                <w:top w:w="0" w:type="dxa"/>
                                <w:left w:w="450" w:type="dxa"/>
                                <w:bottom w:w="0" w:type="dxa"/>
                                <w:right w:w="0" w:type="dxa"/>
                              </w:tcMar>
                              <w:hideMark/>
                            </w:tcPr>
                            <w:p w:rsidR="005C4424" w:rsidRDefault="005C4424">
                              <w:pPr>
                                <w:jc w:val="center"/>
                                <w:rPr>
                                  <w:rFonts w:ascii="Arial" w:eastAsia="Times New Roman" w:hAnsi="Arial" w:cs="Arial"/>
                                  <w:color w:val="222222"/>
                                </w:rPr>
                              </w:pPr>
                              <w:r>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385570" cy="733425"/>
                                    <wp:effectExtent l="0" t="0" r="5080" b="9525"/>
                                    <wp:wrapSquare wrapText="bothSides"/>
                                    <wp:docPr id="1" name="Picture 1" descr="Cig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gna Logo"/>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5570" cy="733425"/>
                                            </a:xfrm>
                                            <a:prstGeom prst="rect">
                                              <a:avLst/>
                                            </a:prstGeom>
                                            <a:noFill/>
                                          </pic:spPr>
                                        </pic:pic>
                                      </a:graphicData>
                                    </a:graphic>
                                    <wp14:sizeRelH relativeFrom="page">
                                      <wp14:pctWidth>0</wp14:pctWidth>
                                    </wp14:sizeRelH>
                                    <wp14:sizeRelV relativeFrom="page">
                                      <wp14:pctHeight>0</wp14:pctHeight>
                                    </wp14:sizeRelV>
                                  </wp:anchor>
                                </w:drawing>
                              </w:r>
                            </w:p>
                          </w:tc>
                          <w:tc>
                            <w:tcPr>
                              <w:tcW w:w="2500" w:type="pct"/>
                              <w:tcMar>
                                <w:top w:w="0" w:type="dxa"/>
                                <w:left w:w="0" w:type="dxa"/>
                                <w:bottom w:w="0" w:type="dxa"/>
                                <w:right w:w="450" w:type="dxa"/>
                              </w:tcMar>
                              <w:hideMark/>
                            </w:tcPr>
                            <w:p w:rsidR="005C4424" w:rsidRDefault="005C4424">
                              <w:pPr>
                                <w:rPr>
                                  <w:rFonts w:ascii="Arial" w:eastAsia="Times New Roman" w:hAnsi="Arial" w:cs="Arial"/>
                                  <w:color w:val="222222"/>
                                </w:rPr>
                              </w:pPr>
                              <w:r>
                                <w:rPr>
                                  <w:rFonts w:ascii="Arial" w:eastAsia="Times New Roman" w:hAnsi="Arial" w:cs="Arial"/>
                                  <w:color w:val="222222"/>
                                </w:rPr>
                                <w:t> </w:t>
                              </w:r>
                            </w:p>
                          </w:tc>
                          <w:tc>
                            <w:tcPr>
                              <w:tcW w:w="6" w:type="dxa"/>
                              <w:hideMark/>
                            </w:tcPr>
                            <w:p w:rsidR="005C4424" w:rsidRDefault="005C4424">
                              <w:pPr>
                                <w:rPr>
                                  <w:rFonts w:ascii="Arial" w:eastAsia="Times New Roman" w:hAnsi="Arial" w:cs="Arial"/>
                                  <w:color w:val="222222"/>
                                </w:rPr>
                              </w:pPr>
                            </w:p>
                          </w:tc>
                        </w:tr>
                      </w:tbl>
                      <w:p w:rsidR="005C4424" w:rsidRDefault="005C4424">
                        <w:pPr>
                          <w:rPr>
                            <w:rFonts w:eastAsia="Times New Roman"/>
                            <w:sz w:val="20"/>
                            <w:szCs w:val="20"/>
                          </w:rPr>
                        </w:pPr>
                      </w:p>
                    </w:tc>
                  </w:tr>
                </w:tbl>
                <w:p w:rsidR="005C4424" w:rsidRDefault="005C4424">
                  <w:pPr>
                    <w:rPr>
                      <w:rFonts w:eastAsia="Times New Roman"/>
                      <w:sz w:val="20"/>
                      <w:szCs w:val="20"/>
                    </w:rPr>
                  </w:pPr>
                </w:p>
              </w:tc>
            </w:tr>
            <w:tr w:rsidR="005C4424">
              <w:trPr>
                <w:jc w:val="center"/>
              </w:trPr>
              <w:tc>
                <w:tcPr>
                  <w:tcW w:w="0" w:type="auto"/>
                  <w:hideMark/>
                </w:tcPr>
                <w:tbl>
                  <w:tblPr>
                    <w:tblW w:w="5000" w:type="pct"/>
                    <w:shd w:val="clear" w:color="auto" w:fill="188CCC"/>
                    <w:tblCellMar>
                      <w:left w:w="0" w:type="dxa"/>
                      <w:right w:w="0" w:type="dxa"/>
                    </w:tblCellMar>
                    <w:tblLook w:val="04A0" w:firstRow="1" w:lastRow="0" w:firstColumn="1" w:lastColumn="0" w:noHBand="0" w:noVBand="1"/>
                  </w:tblPr>
                  <w:tblGrid>
                    <w:gridCol w:w="8700"/>
                    <w:gridCol w:w="6"/>
                  </w:tblGrid>
                  <w:tr w:rsidR="005C4424">
                    <w:tc>
                      <w:tcPr>
                        <w:tcW w:w="0" w:type="auto"/>
                        <w:shd w:val="clear" w:color="auto" w:fill="188CCC"/>
                        <w:hideMark/>
                      </w:tcPr>
                      <w:tbl>
                        <w:tblPr>
                          <w:tblW w:w="8700" w:type="dxa"/>
                          <w:tblCellMar>
                            <w:left w:w="0" w:type="dxa"/>
                            <w:right w:w="0" w:type="dxa"/>
                          </w:tblCellMar>
                          <w:tblLook w:val="04A0" w:firstRow="1" w:lastRow="0" w:firstColumn="1" w:lastColumn="0" w:noHBand="0" w:noVBand="1"/>
                        </w:tblPr>
                        <w:tblGrid>
                          <w:gridCol w:w="8700"/>
                        </w:tblGrid>
                        <w:tr w:rsidR="005C4424">
                          <w:tc>
                            <w:tcPr>
                              <w:tcW w:w="3750" w:type="pct"/>
                              <w:tcMar>
                                <w:top w:w="225" w:type="dxa"/>
                                <w:left w:w="450" w:type="dxa"/>
                                <w:bottom w:w="225" w:type="dxa"/>
                                <w:right w:w="450" w:type="dxa"/>
                              </w:tcMar>
                              <w:hideMark/>
                            </w:tcPr>
                            <w:p w:rsidR="005C4424" w:rsidRDefault="005C4424">
                              <w:pPr>
                                <w:spacing w:line="540" w:lineRule="atLeast"/>
                                <w:rPr>
                                  <w:rFonts w:ascii="Arial" w:eastAsia="Times New Roman" w:hAnsi="Arial" w:cs="Arial"/>
                                  <w:caps/>
                                  <w:color w:val="FFFFFF"/>
                                  <w:sz w:val="44"/>
                                  <w:szCs w:val="44"/>
                                </w:rPr>
                              </w:pPr>
                              <w:r>
                                <w:rPr>
                                  <w:rStyle w:val="Strong"/>
                                  <w:rFonts w:ascii="Arial" w:eastAsia="Times New Roman" w:hAnsi="Arial" w:cs="Arial"/>
                                  <w:caps/>
                                  <w:color w:val="FFFFFF"/>
                                  <w:sz w:val="44"/>
                                  <w:szCs w:val="44"/>
                                </w:rPr>
                                <w:t xml:space="preserve">Cigna to adopt </w:t>
                              </w:r>
                              <w:r>
                                <w:rPr>
                                  <w:rFonts w:ascii="Arial" w:eastAsia="Times New Roman" w:hAnsi="Arial" w:cs="Arial"/>
                                  <w:b/>
                                  <w:bCs/>
                                  <w:caps/>
                                  <w:color w:val="FFFFFF"/>
                                  <w:sz w:val="44"/>
                                  <w:szCs w:val="44"/>
                                </w:rPr>
                                <w:br/>
                              </w:r>
                              <w:r>
                                <w:rPr>
                                  <w:rStyle w:val="Strong"/>
                                  <w:rFonts w:ascii="Arial" w:eastAsia="Times New Roman" w:hAnsi="Arial" w:cs="Arial"/>
                                  <w:caps/>
                                  <w:color w:val="FFFFFF"/>
                                  <w:sz w:val="44"/>
                                  <w:szCs w:val="44"/>
                                </w:rPr>
                                <w:t>MCG Behavioral Health Guidelines</w:t>
                              </w:r>
                            </w:p>
                          </w:tc>
                        </w:tr>
                      </w:tbl>
                      <w:p w:rsidR="005C4424" w:rsidRDefault="005C4424">
                        <w:pPr>
                          <w:rPr>
                            <w:rFonts w:eastAsia="Times New Roman"/>
                            <w:sz w:val="20"/>
                            <w:szCs w:val="20"/>
                          </w:rPr>
                        </w:pPr>
                      </w:p>
                    </w:tc>
                    <w:tc>
                      <w:tcPr>
                        <w:tcW w:w="6" w:type="dxa"/>
                        <w:shd w:val="clear" w:color="auto" w:fill="188CCC"/>
                        <w:hideMark/>
                      </w:tcPr>
                      <w:p w:rsidR="005C4424" w:rsidRDefault="005C4424">
                        <w:pPr>
                          <w:rPr>
                            <w:rFonts w:eastAsia="Times New Roman"/>
                            <w:sz w:val="20"/>
                            <w:szCs w:val="20"/>
                          </w:rPr>
                        </w:pPr>
                      </w:p>
                    </w:tc>
                  </w:tr>
                </w:tbl>
                <w:p w:rsidR="005C4424" w:rsidRDefault="005C4424">
                  <w:pPr>
                    <w:rPr>
                      <w:rFonts w:eastAsia="Times New Roman"/>
                      <w:sz w:val="20"/>
                      <w:szCs w:val="20"/>
                    </w:rPr>
                  </w:pPr>
                </w:p>
              </w:tc>
            </w:tr>
            <w:tr w:rsidR="005C4424">
              <w:trPr>
                <w:jc w:val="center"/>
              </w:trPr>
              <w:tc>
                <w:tcPr>
                  <w:tcW w:w="0" w:type="auto"/>
                  <w:hideMark/>
                </w:tcPr>
                <w:tbl>
                  <w:tblPr>
                    <w:tblW w:w="5000" w:type="pct"/>
                    <w:shd w:val="clear" w:color="auto" w:fill="004986"/>
                    <w:tblCellMar>
                      <w:left w:w="0" w:type="dxa"/>
                      <w:right w:w="0" w:type="dxa"/>
                    </w:tblCellMar>
                    <w:tblLook w:val="04A0" w:firstRow="1" w:lastRow="0" w:firstColumn="1" w:lastColumn="0" w:noHBand="0" w:noVBand="1"/>
                  </w:tblPr>
                  <w:tblGrid>
                    <w:gridCol w:w="8706"/>
                  </w:tblGrid>
                  <w:tr w:rsidR="005C4424">
                    <w:tc>
                      <w:tcPr>
                        <w:tcW w:w="0" w:type="auto"/>
                        <w:shd w:val="clear" w:color="auto" w:fill="004986"/>
                        <w:hideMark/>
                      </w:tcPr>
                      <w:tbl>
                        <w:tblPr>
                          <w:tblW w:w="8700" w:type="dxa"/>
                          <w:tblCellMar>
                            <w:left w:w="0" w:type="dxa"/>
                            <w:right w:w="0" w:type="dxa"/>
                          </w:tblCellMar>
                          <w:tblLook w:val="04A0" w:firstRow="1" w:lastRow="0" w:firstColumn="1" w:lastColumn="0" w:noHBand="0" w:noVBand="1"/>
                        </w:tblPr>
                        <w:tblGrid>
                          <w:gridCol w:w="8694"/>
                          <w:gridCol w:w="6"/>
                        </w:tblGrid>
                        <w:tr w:rsidR="005C4424">
                          <w:tc>
                            <w:tcPr>
                              <w:tcW w:w="0" w:type="auto"/>
                              <w:tcMar>
                                <w:top w:w="255" w:type="dxa"/>
                                <w:left w:w="450" w:type="dxa"/>
                                <w:bottom w:w="255" w:type="dxa"/>
                                <w:right w:w="450" w:type="dxa"/>
                              </w:tcMar>
                              <w:hideMark/>
                            </w:tcPr>
                            <w:p w:rsidR="005C4424" w:rsidRDefault="005C4424">
                              <w:pPr>
                                <w:spacing w:line="300" w:lineRule="atLeast"/>
                                <w:rPr>
                                  <w:rFonts w:ascii="Arial" w:eastAsia="Times New Roman" w:hAnsi="Arial" w:cs="Arial"/>
                                  <w:color w:val="FFFFFF"/>
                                  <w:sz w:val="27"/>
                                  <w:szCs w:val="27"/>
                                </w:rPr>
                              </w:pPr>
                              <w:r>
                                <w:rPr>
                                  <w:rStyle w:val="Strong"/>
                                  <w:rFonts w:ascii="Arial" w:eastAsia="Times New Roman" w:hAnsi="Arial" w:cs="Arial"/>
                                  <w:color w:val="FFFFFF"/>
                                  <w:sz w:val="27"/>
                                  <w:szCs w:val="27"/>
                                </w:rPr>
                                <w:t>Effective November 27, 2020</w:t>
                              </w:r>
                            </w:p>
                          </w:tc>
                          <w:tc>
                            <w:tcPr>
                              <w:tcW w:w="6" w:type="dxa"/>
                              <w:hideMark/>
                            </w:tcPr>
                            <w:p w:rsidR="005C4424" w:rsidRDefault="005C4424">
                              <w:pPr>
                                <w:rPr>
                                  <w:rFonts w:ascii="Arial" w:eastAsia="Times New Roman" w:hAnsi="Arial" w:cs="Arial"/>
                                  <w:color w:val="FFFFFF"/>
                                  <w:sz w:val="27"/>
                                  <w:szCs w:val="27"/>
                                </w:rPr>
                              </w:pPr>
                            </w:p>
                          </w:tc>
                        </w:tr>
                      </w:tbl>
                      <w:p w:rsidR="005C4424" w:rsidRDefault="005C4424">
                        <w:pPr>
                          <w:rPr>
                            <w:rFonts w:eastAsia="Times New Roman"/>
                            <w:sz w:val="20"/>
                            <w:szCs w:val="20"/>
                          </w:rPr>
                        </w:pPr>
                      </w:p>
                    </w:tc>
                  </w:tr>
                </w:tbl>
                <w:p w:rsidR="005C4424" w:rsidRDefault="005C4424">
                  <w:pPr>
                    <w:rPr>
                      <w:rFonts w:eastAsia="Times New Roman"/>
                      <w:sz w:val="20"/>
                      <w:szCs w:val="20"/>
                    </w:rPr>
                  </w:pPr>
                </w:p>
              </w:tc>
            </w:tr>
            <w:tr w:rsidR="005C4424">
              <w:trPr>
                <w:jc w:val="center"/>
              </w:trPr>
              <w:tc>
                <w:tcPr>
                  <w:tcW w:w="0" w:type="auto"/>
                  <w:hideMark/>
                </w:tcPr>
                <w:tbl>
                  <w:tblPr>
                    <w:tblW w:w="5000" w:type="pct"/>
                    <w:shd w:val="clear" w:color="auto" w:fill="FFFFFF"/>
                    <w:tblCellMar>
                      <w:left w:w="0" w:type="dxa"/>
                      <w:right w:w="0" w:type="dxa"/>
                    </w:tblCellMar>
                    <w:tblLook w:val="04A0" w:firstRow="1" w:lastRow="0" w:firstColumn="1" w:lastColumn="0" w:noHBand="0" w:noVBand="1"/>
                  </w:tblPr>
                  <w:tblGrid>
                    <w:gridCol w:w="8706"/>
                  </w:tblGrid>
                  <w:tr w:rsidR="005C4424">
                    <w:tc>
                      <w:tcPr>
                        <w:tcW w:w="0" w:type="auto"/>
                        <w:shd w:val="clear" w:color="auto" w:fill="FFFFFF"/>
                        <w:hideMark/>
                      </w:tcPr>
                      <w:tbl>
                        <w:tblPr>
                          <w:tblW w:w="8700" w:type="dxa"/>
                          <w:tblCellMar>
                            <w:left w:w="0" w:type="dxa"/>
                            <w:right w:w="0" w:type="dxa"/>
                          </w:tblCellMar>
                          <w:tblLook w:val="04A0" w:firstRow="1" w:lastRow="0" w:firstColumn="1" w:lastColumn="0" w:noHBand="0" w:noVBand="1"/>
                        </w:tblPr>
                        <w:tblGrid>
                          <w:gridCol w:w="8700"/>
                        </w:tblGrid>
                        <w:tr w:rsidR="005C4424">
                          <w:tc>
                            <w:tcPr>
                              <w:tcW w:w="0" w:type="auto"/>
                              <w:tcMar>
                                <w:top w:w="0" w:type="dxa"/>
                                <w:left w:w="450" w:type="dxa"/>
                                <w:bottom w:w="0" w:type="dxa"/>
                                <w:right w:w="450" w:type="dxa"/>
                              </w:tcMar>
                              <w:hideMark/>
                            </w:tcPr>
                            <w:tbl>
                              <w:tblPr>
                                <w:tblW w:w="5000" w:type="pct"/>
                                <w:tblCellMar>
                                  <w:left w:w="0" w:type="dxa"/>
                                  <w:right w:w="0" w:type="dxa"/>
                                </w:tblCellMar>
                                <w:tblLook w:val="04A0" w:firstRow="1" w:lastRow="0" w:firstColumn="1" w:lastColumn="0" w:noHBand="0" w:noVBand="1"/>
                              </w:tblPr>
                              <w:tblGrid>
                                <w:gridCol w:w="7794"/>
                                <w:gridCol w:w="6"/>
                              </w:tblGrid>
                              <w:tr w:rsidR="005C4424">
                                <w:tc>
                                  <w:tcPr>
                                    <w:tcW w:w="0" w:type="auto"/>
                                    <w:hideMark/>
                                  </w:tcPr>
                                  <w:p w:rsidR="005C4424" w:rsidRDefault="005C4424">
                                    <w:pPr>
                                      <w:pStyle w:val="NormalWeb"/>
                                    </w:pPr>
                                    <w:r>
                                      <w:br/>
                                      <w:t>Starting November 27, 2020, Cigna will adopt MCG Behavioral Health Guidelines for guidance in conducting mental health level of care medical necessity reviews for all commercial health plan business unless federal or state law require the use of other specifically identified clinical criteria.</w:t>
                                    </w:r>
                                  </w:p>
                                  <w:p w:rsidR="005C4424" w:rsidRDefault="005C4424">
                                    <w:pPr>
                                      <w:pStyle w:val="NormalWeb"/>
                                    </w:pPr>
                                    <w:r>
                                      <w:t xml:space="preserve">While the current </w:t>
                                    </w:r>
                                    <w:hyperlink r:id="rId6" w:history="1">
                                      <w:r>
                                        <w:rPr>
                                          <w:rStyle w:val="Hyperlink"/>
                                        </w:rPr>
                                        <w:t>Cigna Standards and Guidelines/Medical Necessity Criteria for Treatment of Mental Health Disorders</w:t>
                                      </w:r>
                                    </w:hyperlink>
                                    <w:r>
                                      <w:t xml:space="preserve"> were developed with consideration of evidence-based literature, professional association guidelines, and with feedback from our stakeholders, we are transitioning to externally developed guidelines. These guidelines have wide acceptance as an evidence-based standard for mental health care, are developed and maintained in compliance with state and federal regulations, including parity, and align with and reference the following professional organizations:</w:t>
                                    </w:r>
                                  </w:p>
                                  <w:p w:rsidR="005C4424" w:rsidRDefault="005C4424">
                                    <w:pPr>
                                      <w:numPr>
                                        <w:ilvl w:val="0"/>
                                        <w:numId w:val="1"/>
                                      </w:numPr>
                                      <w:spacing w:before="100" w:beforeAutospacing="1" w:after="100" w:afterAutospacing="1"/>
                                      <w:rPr>
                                        <w:rFonts w:ascii="Arial" w:eastAsia="Times New Roman" w:hAnsi="Arial" w:cs="Arial"/>
                                        <w:color w:val="222222"/>
                                      </w:rPr>
                                    </w:pPr>
                                    <w:r>
                                      <w:rPr>
                                        <w:rFonts w:ascii="Arial" w:eastAsia="Times New Roman" w:hAnsi="Arial" w:cs="Arial"/>
                                        <w:color w:val="222222"/>
                                      </w:rPr>
                                      <w:t>American Association of Child and Adolescent Psychiatry</w:t>
                                    </w:r>
                                  </w:p>
                                  <w:p w:rsidR="005C4424" w:rsidRDefault="005C4424">
                                    <w:pPr>
                                      <w:numPr>
                                        <w:ilvl w:val="0"/>
                                        <w:numId w:val="1"/>
                                      </w:numPr>
                                      <w:spacing w:before="100" w:beforeAutospacing="1" w:after="100" w:afterAutospacing="1"/>
                                      <w:rPr>
                                        <w:rFonts w:ascii="Arial" w:eastAsia="Times New Roman" w:hAnsi="Arial" w:cs="Arial"/>
                                        <w:color w:val="222222"/>
                                      </w:rPr>
                                    </w:pPr>
                                    <w:r>
                                      <w:rPr>
                                        <w:rFonts w:ascii="Arial" w:eastAsia="Times New Roman" w:hAnsi="Arial" w:cs="Arial"/>
                                        <w:color w:val="222222"/>
                                      </w:rPr>
                                      <w:t>American Association of Community Psychiatrists</w:t>
                                    </w:r>
                                  </w:p>
                                  <w:p w:rsidR="005C4424" w:rsidRDefault="005C4424">
                                    <w:pPr>
                                      <w:numPr>
                                        <w:ilvl w:val="0"/>
                                        <w:numId w:val="1"/>
                                      </w:numPr>
                                      <w:spacing w:before="100" w:beforeAutospacing="1" w:after="100" w:afterAutospacing="1"/>
                                      <w:rPr>
                                        <w:rFonts w:ascii="Arial" w:eastAsia="Times New Roman" w:hAnsi="Arial" w:cs="Arial"/>
                                        <w:color w:val="222222"/>
                                      </w:rPr>
                                    </w:pPr>
                                    <w:r>
                                      <w:rPr>
                                        <w:rFonts w:ascii="Arial" w:eastAsia="Times New Roman" w:hAnsi="Arial" w:cs="Arial"/>
                                        <w:color w:val="222222"/>
                                      </w:rPr>
                                      <w:t>American Psychiatric Association (APA) Practice Guidelines</w:t>
                                    </w:r>
                                  </w:p>
                                  <w:p w:rsidR="005C4424" w:rsidRDefault="005C4424">
                                    <w:pPr>
                                      <w:numPr>
                                        <w:ilvl w:val="0"/>
                                        <w:numId w:val="1"/>
                                      </w:numPr>
                                      <w:spacing w:before="100" w:beforeAutospacing="1" w:after="100" w:afterAutospacing="1"/>
                                      <w:rPr>
                                        <w:rFonts w:ascii="Arial" w:eastAsia="Times New Roman" w:hAnsi="Arial" w:cs="Arial"/>
                                        <w:color w:val="222222"/>
                                      </w:rPr>
                                    </w:pPr>
                                    <w:r>
                                      <w:rPr>
                                        <w:rFonts w:ascii="Arial" w:eastAsia="Times New Roman" w:hAnsi="Arial" w:cs="Arial"/>
                                        <w:color w:val="222222"/>
                                      </w:rPr>
                                      <w:t>American Society of Addiction Medicine (ASAM)</w:t>
                                    </w:r>
                                  </w:p>
                                  <w:p w:rsidR="005C4424" w:rsidRDefault="005C4424">
                                    <w:pPr>
                                      <w:numPr>
                                        <w:ilvl w:val="0"/>
                                        <w:numId w:val="1"/>
                                      </w:numPr>
                                      <w:spacing w:before="100" w:beforeAutospacing="1" w:after="100" w:afterAutospacing="1"/>
                                      <w:rPr>
                                        <w:rFonts w:ascii="Arial" w:eastAsia="Times New Roman" w:hAnsi="Arial" w:cs="Arial"/>
                                        <w:color w:val="222222"/>
                                      </w:rPr>
                                    </w:pPr>
                                    <w:r>
                                      <w:rPr>
                                        <w:rFonts w:ascii="Arial" w:eastAsia="Times New Roman" w:hAnsi="Arial" w:cs="Arial"/>
                                        <w:color w:val="222222"/>
                                      </w:rPr>
                                      <w:t>Association for Ambulatory Behavioral Healthcare (AABH)</w:t>
                                    </w:r>
                                  </w:p>
                                  <w:p w:rsidR="005C4424" w:rsidRDefault="005C4424">
                                    <w:pPr>
                                      <w:numPr>
                                        <w:ilvl w:val="0"/>
                                        <w:numId w:val="1"/>
                                      </w:numPr>
                                      <w:spacing w:before="100" w:beforeAutospacing="1" w:after="100" w:afterAutospacing="1"/>
                                      <w:rPr>
                                        <w:rFonts w:ascii="Arial" w:eastAsia="Times New Roman" w:hAnsi="Arial" w:cs="Arial"/>
                                        <w:color w:val="222222"/>
                                      </w:rPr>
                                    </w:pPr>
                                    <w:r>
                                      <w:rPr>
                                        <w:rFonts w:ascii="Arial" w:eastAsia="Times New Roman" w:hAnsi="Arial" w:cs="Arial"/>
                                        <w:color w:val="222222"/>
                                      </w:rPr>
                                      <w:t>Centers for Disease Control and Prevention (CDC)</w:t>
                                    </w:r>
                                  </w:p>
                                  <w:p w:rsidR="005C4424" w:rsidRDefault="005C4424">
                                    <w:pPr>
                                      <w:numPr>
                                        <w:ilvl w:val="0"/>
                                        <w:numId w:val="1"/>
                                      </w:numPr>
                                      <w:spacing w:before="100" w:beforeAutospacing="1" w:after="100" w:afterAutospacing="1"/>
                                      <w:rPr>
                                        <w:rFonts w:ascii="Arial" w:eastAsia="Times New Roman" w:hAnsi="Arial" w:cs="Arial"/>
                                        <w:color w:val="222222"/>
                                      </w:rPr>
                                    </w:pPr>
                                    <w:r>
                                      <w:rPr>
                                        <w:rFonts w:ascii="Arial" w:eastAsia="Times New Roman" w:hAnsi="Arial" w:cs="Arial"/>
                                        <w:color w:val="222222"/>
                                      </w:rPr>
                                      <w:t>Child and Adolescent Level of Care Utilization System (CALOCUS)</w:t>
                                    </w:r>
                                  </w:p>
                                  <w:p w:rsidR="005C4424" w:rsidRDefault="005C4424">
                                    <w:pPr>
                                      <w:numPr>
                                        <w:ilvl w:val="0"/>
                                        <w:numId w:val="1"/>
                                      </w:numPr>
                                      <w:spacing w:before="100" w:beforeAutospacing="1" w:after="100" w:afterAutospacing="1"/>
                                      <w:rPr>
                                        <w:rFonts w:ascii="Arial" w:eastAsia="Times New Roman" w:hAnsi="Arial" w:cs="Arial"/>
                                        <w:color w:val="222222"/>
                                      </w:rPr>
                                    </w:pPr>
                                    <w:r>
                                      <w:rPr>
                                        <w:rFonts w:ascii="Arial" w:eastAsia="Times New Roman" w:hAnsi="Arial" w:cs="Arial"/>
                                        <w:color w:val="222222"/>
                                      </w:rPr>
                                      <w:t>Child and Adolescent Service Intensity Instrument (CASII)</w:t>
                                    </w:r>
                                  </w:p>
                                  <w:p w:rsidR="005C4424" w:rsidRDefault="005C4424">
                                    <w:pPr>
                                      <w:numPr>
                                        <w:ilvl w:val="0"/>
                                        <w:numId w:val="1"/>
                                      </w:numPr>
                                      <w:spacing w:before="100" w:beforeAutospacing="1" w:after="100" w:afterAutospacing="1"/>
                                      <w:rPr>
                                        <w:rFonts w:ascii="Arial" w:eastAsia="Times New Roman" w:hAnsi="Arial" w:cs="Arial"/>
                                        <w:color w:val="222222"/>
                                      </w:rPr>
                                    </w:pPr>
                                    <w:r>
                                      <w:rPr>
                                        <w:rFonts w:ascii="Arial" w:eastAsia="Times New Roman" w:hAnsi="Arial" w:cs="Arial"/>
                                        <w:color w:val="222222"/>
                                      </w:rPr>
                                      <w:t>Early Childhood Service Intensity Instrument (ECSII)</w:t>
                                    </w:r>
                                  </w:p>
                                  <w:p w:rsidR="005C4424" w:rsidRDefault="005C4424">
                                    <w:pPr>
                                      <w:numPr>
                                        <w:ilvl w:val="0"/>
                                        <w:numId w:val="1"/>
                                      </w:numPr>
                                      <w:spacing w:before="100" w:beforeAutospacing="1" w:after="100" w:afterAutospacing="1"/>
                                      <w:rPr>
                                        <w:rFonts w:ascii="Arial" w:eastAsia="Times New Roman" w:hAnsi="Arial" w:cs="Arial"/>
                                        <w:color w:val="222222"/>
                                      </w:rPr>
                                    </w:pPr>
                                    <w:r>
                                      <w:rPr>
                                        <w:rFonts w:ascii="Arial" w:eastAsia="Times New Roman" w:hAnsi="Arial" w:cs="Arial"/>
                                        <w:color w:val="222222"/>
                                      </w:rPr>
                                      <w:t>Level of Care Utilization System (LOCUS)</w:t>
                                    </w:r>
                                  </w:p>
                                  <w:p w:rsidR="005C4424" w:rsidRDefault="005C4424">
                                    <w:pPr>
                                      <w:pStyle w:val="NormalWeb"/>
                                      <w:spacing w:before="150" w:after="0" w:line="270" w:lineRule="atLeast"/>
                                      <w:rPr>
                                        <w:color w:val="188CCC"/>
                                        <w:sz w:val="21"/>
                                        <w:szCs w:val="21"/>
                                      </w:rPr>
                                    </w:pPr>
                                    <w:r>
                                      <w:rPr>
                                        <w:rStyle w:val="Strong"/>
                                        <w:color w:val="188CCC"/>
                                        <w:sz w:val="21"/>
                                        <w:szCs w:val="21"/>
                                      </w:rPr>
                                      <w:t>What this means to you</w:t>
                                    </w:r>
                                  </w:p>
                                  <w:p w:rsidR="005C4424" w:rsidRDefault="005C4424">
                                    <w:pPr>
                                      <w:pStyle w:val="NormalWeb"/>
                                    </w:pPr>
                                    <w:r>
                                      <w:t xml:space="preserve">Our adoption of the MCG Behavioral Health Guidelines further supports a consistent application of evidence-based criteria to ensure that treatment includes consideration of practices that have been shown to be most </w:t>
                                    </w:r>
                                    <w:r>
                                      <w:lastRenderedPageBreak/>
                                      <w:t>effective for mental health disorders. These guidelines complement our suite of existing evidence-based criteria to support your clinical judgment and decision-making processes.</w:t>
                                    </w:r>
                                  </w:p>
                                  <w:p w:rsidR="005C4424" w:rsidRDefault="005C4424">
                                    <w:pPr>
                                      <w:pStyle w:val="NormalWeb"/>
                                    </w:pPr>
                                    <w:r>
                                      <w:t>In addition to the MCG Behavioral Health Guidelines, the following resources will continue to be used to make medical necessity determinations:</w:t>
                                    </w:r>
                                  </w:p>
                                  <w:p w:rsidR="005C4424" w:rsidRDefault="005C4424">
                                    <w:pPr>
                                      <w:numPr>
                                        <w:ilvl w:val="0"/>
                                        <w:numId w:val="2"/>
                                      </w:numPr>
                                      <w:spacing w:before="100" w:beforeAutospacing="1" w:after="100" w:afterAutospacing="1"/>
                                      <w:rPr>
                                        <w:rFonts w:ascii="Arial" w:eastAsia="Times New Roman" w:hAnsi="Arial" w:cs="Arial"/>
                                        <w:color w:val="222222"/>
                                      </w:rPr>
                                    </w:pPr>
                                    <w:hyperlink r:id="rId7" w:history="1">
                                      <w:r>
                                        <w:rPr>
                                          <w:rStyle w:val="Hyperlink"/>
                                          <w:rFonts w:ascii="Arial" w:eastAsia="Times New Roman" w:hAnsi="Arial" w:cs="Arial"/>
                                        </w:rPr>
                                        <w:t>The ASAM Criteria</w:t>
                                      </w:r>
                                      <w:r>
                                        <w:rPr>
                                          <w:rStyle w:val="Hyperlink"/>
                                          <w:rFonts w:ascii="Arial" w:eastAsia="Times New Roman" w:hAnsi="Arial" w:cs="Arial"/>
                                          <w:vertAlign w:val="superscript"/>
                                        </w:rPr>
                                        <w:t>®</w:t>
                                      </w:r>
                                    </w:hyperlink>
                                    <w:r>
                                      <w:rPr>
                                        <w:rFonts w:ascii="Arial" w:eastAsia="Times New Roman" w:hAnsi="Arial" w:cs="Arial"/>
                                        <w:color w:val="222222"/>
                                      </w:rPr>
                                      <w:br/>
                                    </w:r>
                                    <w:r>
                                      <w:rPr>
                                        <w:rStyle w:val="Emphasis"/>
                                        <w:rFonts w:ascii="Arial" w:eastAsia="Times New Roman" w:hAnsi="Arial" w:cs="Arial"/>
                                        <w:color w:val="222222"/>
                                      </w:rPr>
                                      <w:t>Cigna uses this criteria, developed by the American Society of Addiction Medicine, for guidance in conducting medical necessity reviews of substance use disorder level of care for all commercial health plan business.</w:t>
                                    </w:r>
                                  </w:p>
                                  <w:p w:rsidR="005C4424" w:rsidRDefault="005C4424">
                                    <w:pPr>
                                      <w:numPr>
                                        <w:ilvl w:val="0"/>
                                        <w:numId w:val="2"/>
                                      </w:numPr>
                                      <w:spacing w:before="100" w:beforeAutospacing="1" w:after="100" w:afterAutospacing="1"/>
                                      <w:rPr>
                                        <w:rFonts w:ascii="Arial" w:eastAsia="Times New Roman" w:hAnsi="Arial" w:cs="Arial"/>
                                        <w:color w:val="222222"/>
                                      </w:rPr>
                                    </w:pPr>
                                    <w:hyperlink r:id="rId8" w:history="1">
                                      <w:r>
                                        <w:rPr>
                                          <w:rStyle w:val="Hyperlink"/>
                                          <w:rFonts w:ascii="Arial" w:eastAsia="Times New Roman" w:hAnsi="Arial" w:cs="Arial"/>
                                        </w:rPr>
                                        <w:t>Cigna Medical Coverage Policies</w:t>
                                      </w:r>
                                    </w:hyperlink>
                                  </w:p>
                                  <w:p w:rsidR="005C4424" w:rsidRDefault="005C4424">
                                    <w:pPr>
                                      <w:numPr>
                                        <w:ilvl w:val="0"/>
                                        <w:numId w:val="2"/>
                                      </w:numPr>
                                      <w:spacing w:before="100" w:beforeAutospacing="1" w:after="100" w:afterAutospacing="1"/>
                                      <w:rPr>
                                        <w:rFonts w:ascii="Arial" w:eastAsia="Times New Roman" w:hAnsi="Arial" w:cs="Arial"/>
                                        <w:color w:val="222222"/>
                                      </w:rPr>
                                    </w:pPr>
                                    <w:hyperlink r:id="rId9" w:history="1">
                                      <w:r>
                                        <w:rPr>
                                          <w:rStyle w:val="Hyperlink"/>
                                          <w:rFonts w:ascii="Arial" w:eastAsia="Times New Roman" w:hAnsi="Arial" w:cs="Arial"/>
                                        </w:rPr>
                                        <w:t>Cigna Authorization and Billing Resource</w:t>
                                      </w:r>
                                    </w:hyperlink>
                                  </w:p>
                                  <w:p w:rsidR="005C4424" w:rsidRDefault="005C4424">
                                    <w:pPr>
                                      <w:numPr>
                                        <w:ilvl w:val="0"/>
                                        <w:numId w:val="2"/>
                                      </w:numPr>
                                      <w:spacing w:before="100" w:beforeAutospacing="1" w:after="100" w:afterAutospacing="1"/>
                                      <w:rPr>
                                        <w:rFonts w:ascii="Arial" w:eastAsia="Times New Roman" w:hAnsi="Arial" w:cs="Arial"/>
                                        <w:color w:val="222222"/>
                                      </w:rPr>
                                    </w:pPr>
                                    <w:r>
                                      <w:rPr>
                                        <w:rFonts w:ascii="Arial" w:eastAsia="Times New Roman" w:hAnsi="Arial" w:cs="Arial"/>
                                        <w:color w:val="222222"/>
                                      </w:rPr>
                                      <w:t>State and federal regulations and licensing standards</w:t>
                                    </w:r>
                                  </w:p>
                                  <w:tbl>
                                    <w:tblPr>
                                      <w:tblW w:w="5000" w:type="pct"/>
                                      <w:tblCellMar>
                                        <w:left w:w="0" w:type="dxa"/>
                                        <w:right w:w="0" w:type="dxa"/>
                                      </w:tblCellMar>
                                      <w:tblLook w:val="04A0" w:firstRow="1" w:lastRow="0" w:firstColumn="1" w:lastColumn="0" w:noHBand="0" w:noVBand="1"/>
                                    </w:tblPr>
                                    <w:tblGrid>
                                      <w:gridCol w:w="7794"/>
                                    </w:tblGrid>
                                    <w:tr w:rsidR="005C4424">
                                      <w:tc>
                                        <w:tcPr>
                                          <w:tcW w:w="0" w:type="auto"/>
                                          <w:shd w:val="clear" w:color="auto" w:fill="CCEEF9"/>
                                          <w:tcMar>
                                            <w:top w:w="270" w:type="dxa"/>
                                            <w:left w:w="270" w:type="dxa"/>
                                            <w:bottom w:w="180" w:type="dxa"/>
                                            <w:right w:w="270" w:type="dxa"/>
                                          </w:tcMar>
                                          <w:hideMark/>
                                        </w:tcPr>
                                        <w:tbl>
                                          <w:tblPr>
                                            <w:tblW w:w="5000" w:type="pct"/>
                                            <w:tblCellMar>
                                              <w:left w:w="0" w:type="dxa"/>
                                              <w:right w:w="0" w:type="dxa"/>
                                            </w:tblCellMar>
                                            <w:tblLook w:val="04A0" w:firstRow="1" w:lastRow="0" w:firstColumn="1" w:lastColumn="0" w:noHBand="0" w:noVBand="1"/>
                                          </w:tblPr>
                                          <w:tblGrid>
                                            <w:gridCol w:w="7254"/>
                                          </w:tblGrid>
                                          <w:tr w:rsidR="005C4424">
                                            <w:tc>
                                              <w:tcPr>
                                                <w:tcW w:w="0" w:type="auto"/>
                                              </w:tcPr>
                                              <w:tbl>
                                                <w:tblPr>
                                                  <w:tblpPr w:leftFromText="45" w:rightFromText="45" w:vertAnchor="text"/>
                                                  <w:tblW w:w="1125" w:type="dxa"/>
                                                  <w:tblCellMar>
                                                    <w:left w:w="0" w:type="dxa"/>
                                                    <w:right w:w="0" w:type="dxa"/>
                                                  </w:tblCellMar>
                                                  <w:tblLook w:val="04A0" w:firstRow="1" w:lastRow="0" w:firstColumn="1" w:lastColumn="0" w:noHBand="0" w:noVBand="1"/>
                                                </w:tblPr>
                                                <w:tblGrid>
                                                  <w:gridCol w:w="1125"/>
                                                </w:tblGrid>
                                                <w:tr w:rsidR="005C4424">
                                                  <w:tc>
                                                    <w:tcPr>
                                                      <w:tcW w:w="0" w:type="auto"/>
                                                      <w:hideMark/>
                                                    </w:tcPr>
                                                    <w:p w:rsidR="005C4424" w:rsidRDefault="005C4424">
                                                      <w:pPr>
                                                        <w:numPr>
                                                          <w:ilvl w:val="0"/>
                                                          <w:numId w:val="2"/>
                                                        </w:numPr>
                                                        <w:spacing w:before="100" w:beforeAutospacing="1" w:after="100" w:afterAutospacing="1"/>
                                                        <w:rPr>
                                                          <w:rFonts w:ascii="Arial" w:eastAsia="Times New Roman" w:hAnsi="Arial" w:cs="Arial"/>
                                                          <w:color w:val="222222"/>
                                                        </w:rPr>
                                                      </w:pPr>
                                                    </w:p>
                                                  </w:tc>
                                                </w:tr>
                                              </w:tbl>
                                              <w:p w:rsidR="005C4424" w:rsidRDefault="005C4424">
                                                <w:pPr>
                                                  <w:rPr>
                                                    <w:rFonts w:ascii="Arial" w:eastAsia="Times New Roman" w:hAnsi="Arial" w:cs="Arial"/>
                                                    <w:vanish/>
                                                    <w:color w:val="222222"/>
                                                  </w:rPr>
                                                </w:pPr>
                                              </w:p>
                                              <w:tbl>
                                                <w:tblPr>
                                                  <w:tblpPr w:leftFromText="45" w:rightFromText="45" w:vertAnchor="text"/>
                                                  <w:tblW w:w="7125" w:type="dxa"/>
                                                  <w:tblCellMar>
                                                    <w:left w:w="0" w:type="dxa"/>
                                                    <w:right w:w="0" w:type="dxa"/>
                                                  </w:tblCellMar>
                                                  <w:tblLook w:val="04A0" w:firstRow="1" w:lastRow="0" w:firstColumn="1" w:lastColumn="0" w:noHBand="0" w:noVBand="1"/>
                                                </w:tblPr>
                                                <w:tblGrid>
                                                  <w:gridCol w:w="7125"/>
                                                </w:tblGrid>
                                                <w:tr w:rsidR="005C4424">
                                                  <w:tc>
                                                    <w:tcPr>
                                                      <w:tcW w:w="0" w:type="auto"/>
                                                      <w:tcMar>
                                                        <w:top w:w="0" w:type="dxa"/>
                                                        <w:left w:w="210" w:type="dxa"/>
                                                        <w:bottom w:w="0" w:type="dxa"/>
                                                        <w:right w:w="0" w:type="dxa"/>
                                                      </w:tcMar>
                                                      <w:hideMark/>
                                                    </w:tcPr>
                                                    <w:p w:rsidR="005C4424" w:rsidRDefault="005C4424">
                                                      <w:pPr>
                                                        <w:spacing w:line="285" w:lineRule="atLeast"/>
                                                        <w:rPr>
                                                          <w:rFonts w:ascii="Arial" w:eastAsia="Times New Roman" w:hAnsi="Arial" w:cs="Arial"/>
                                                          <w:color w:val="222222"/>
                                                          <w:sz w:val="21"/>
                                                          <w:szCs w:val="21"/>
                                                        </w:rPr>
                                                      </w:pPr>
                                                      <w:r>
                                                        <w:rPr>
                                                          <w:rStyle w:val="Strong"/>
                                                          <w:rFonts w:ascii="Arial" w:eastAsia="Times New Roman" w:hAnsi="Arial" w:cs="Arial"/>
                                                          <w:color w:val="188CCC"/>
                                                        </w:rPr>
                                                        <w:t>What's changing?</w:t>
                                                      </w:r>
                                                    </w:p>
                                                    <w:p w:rsidR="005C4424" w:rsidRDefault="005C4424">
                                                      <w:pPr>
                                                        <w:numPr>
                                                          <w:ilvl w:val="0"/>
                                                          <w:numId w:val="3"/>
                                                        </w:numPr>
                                                        <w:spacing w:before="100" w:beforeAutospacing="1" w:after="100" w:afterAutospacing="1" w:line="285" w:lineRule="atLeast"/>
                                                        <w:rPr>
                                                          <w:rFonts w:ascii="Arial" w:eastAsia="Times New Roman" w:hAnsi="Arial" w:cs="Arial"/>
                                                          <w:color w:val="222222"/>
                                                          <w:sz w:val="21"/>
                                                          <w:szCs w:val="21"/>
                                                        </w:rPr>
                                                      </w:pPr>
                                                      <w:r>
                                                        <w:rPr>
                                                          <w:rFonts w:ascii="Arial" w:eastAsia="Times New Roman" w:hAnsi="Arial" w:cs="Arial"/>
                                                          <w:color w:val="222222"/>
                                                          <w:sz w:val="21"/>
                                                          <w:szCs w:val="21"/>
                                                        </w:rPr>
                                                        <w:t>On November 27, 2020, Cigna will terminate use of the Cigna Standards and Guidelines/Medical Necessity Criteria for Treatment of Mental Health Disorders* and transition to MCG Behavioral Health Guidelines built on externally developed evidence-based guidelines.</w:t>
                                                      </w:r>
                                                    </w:p>
                                                    <w:p w:rsidR="005C4424" w:rsidRDefault="005C4424">
                                                      <w:pPr>
                                                        <w:numPr>
                                                          <w:ilvl w:val="0"/>
                                                          <w:numId w:val="3"/>
                                                        </w:numPr>
                                                        <w:spacing w:before="100" w:beforeAutospacing="1" w:after="100" w:afterAutospacing="1" w:line="285" w:lineRule="atLeast"/>
                                                        <w:rPr>
                                                          <w:rFonts w:ascii="Arial" w:eastAsia="Times New Roman" w:hAnsi="Arial" w:cs="Arial"/>
                                                          <w:color w:val="222222"/>
                                                          <w:sz w:val="21"/>
                                                          <w:szCs w:val="21"/>
                                                        </w:rPr>
                                                      </w:pPr>
                                                      <w:r>
                                                        <w:rPr>
                                                          <w:rFonts w:ascii="Arial" w:eastAsia="Times New Roman" w:hAnsi="Arial" w:cs="Arial"/>
                                                          <w:color w:val="222222"/>
                                                          <w:sz w:val="21"/>
                                                          <w:szCs w:val="21"/>
                                                        </w:rPr>
                                                        <w:t xml:space="preserve">Behavioral clinical criteria will remain on the Cigna for Health Care Professionals website, but at the end of November 2020, it will all be accessible in one location: </w:t>
                                                      </w:r>
                                                    </w:p>
                                                    <w:p w:rsidR="005C4424" w:rsidRDefault="005C4424">
                                                      <w:pPr>
                                                        <w:numPr>
                                                          <w:ilvl w:val="1"/>
                                                          <w:numId w:val="3"/>
                                                        </w:numPr>
                                                        <w:spacing w:before="100" w:beforeAutospacing="1" w:after="100" w:afterAutospacing="1" w:line="285" w:lineRule="atLeast"/>
                                                        <w:rPr>
                                                          <w:rFonts w:ascii="Arial" w:eastAsia="Times New Roman" w:hAnsi="Arial" w:cs="Arial"/>
                                                          <w:color w:val="222222"/>
                                                          <w:sz w:val="21"/>
                                                          <w:szCs w:val="21"/>
                                                        </w:rPr>
                                                      </w:pPr>
                                                      <w:r>
                                                        <w:rPr>
                                                          <w:rFonts w:ascii="Arial" w:eastAsia="Times New Roman" w:hAnsi="Arial" w:cs="Arial"/>
                                                          <w:color w:val="222222"/>
                                                          <w:sz w:val="21"/>
                                                          <w:szCs w:val="21"/>
                                                        </w:rPr>
                                                        <w:t>Cigna for Health Care Professionals website (</w:t>
                                                      </w:r>
                                                      <w:hyperlink r:id="rId10" w:history="1">
                                                        <w:r>
                                                          <w:rPr>
                                                            <w:rStyle w:val="Hyperlink"/>
                                                            <w:rFonts w:ascii="Arial" w:eastAsia="Times New Roman" w:hAnsi="Arial" w:cs="Arial"/>
                                                            <w:sz w:val="21"/>
                                                            <w:szCs w:val="21"/>
                                                          </w:rPr>
                                                          <w:t>CignaforHCP.com</w:t>
                                                        </w:r>
                                                      </w:hyperlink>
                                                      <w:r>
                                                        <w:rPr>
                                                          <w:rFonts w:ascii="Arial" w:eastAsia="Times New Roman" w:hAnsi="Arial" w:cs="Arial"/>
                                                          <w:color w:val="222222"/>
                                                          <w:sz w:val="21"/>
                                                          <w:szCs w:val="21"/>
                                                        </w:rPr>
                                                        <w:t xml:space="preserve">) &gt; </w:t>
                                                      </w:r>
                                                      <w:hyperlink r:id="rId11" w:history="1">
                                                        <w:r>
                                                          <w:rPr>
                                                            <w:rStyle w:val="Hyperlink"/>
                                                            <w:rFonts w:ascii="Arial" w:eastAsia="Times New Roman" w:hAnsi="Arial" w:cs="Arial"/>
                                                            <w:sz w:val="21"/>
                                                            <w:szCs w:val="21"/>
                                                          </w:rPr>
                                                          <w:t>Coverage Policies</w:t>
                                                        </w:r>
                                                      </w:hyperlink>
                                                      <w:r>
                                                        <w:rPr>
                                                          <w:rFonts w:ascii="Arial" w:eastAsia="Times New Roman" w:hAnsi="Arial" w:cs="Arial"/>
                                                          <w:color w:val="222222"/>
                                                          <w:sz w:val="21"/>
                                                          <w:szCs w:val="21"/>
                                                        </w:rPr>
                                                        <w:t xml:space="preserve">, see </w:t>
                                                      </w:r>
                                                      <w:r>
                                                        <w:rPr>
                                                          <w:rStyle w:val="Emphasis"/>
                                                          <w:rFonts w:ascii="Arial" w:eastAsia="Times New Roman" w:hAnsi="Arial" w:cs="Arial"/>
                                                          <w:color w:val="222222"/>
                                                          <w:sz w:val="21"/>
                                                          <w:szCs w:val="21"/>
                                                        </w:rPr>
                                                        <w:t>Supporting Behavioral Websites</w:t>
                                                      </w:r>
                                                      <w:r>
                                                        <w:rPr>
                                                          <w:rFonts w:ascii="Arial" w:eastAsia="Times New Roman" w:hAnsi="Arial" w:cs="Arial"/>
                                                          <w:color w:val="222222"/>
                                                          <w:sz w:val="21"/>
                                                          <w:szCs w:val="21"/>
                                                        </w:rPr>
                                                        <w:t>.</w:t>
                                                      </w:r>
                                                    </w:p>
                                                    <w:p w:rsidR="005C4424" w:rsidRDefault="005C4424">
                                                      <w:pPr>
                                                        <w:numPr>
                                                          <w:ilvl w:val="1"/>
                                                          <w:numId w:val="3"/>
                                                        </w:numPr>
                                                        <w:spacing w:before="100" w:beforeAutospacing="1" w:after="100" w:afterAutospacing="1" w:line="285" w:lineRule="atLeast"/>
                                                        <w:rPr>
                                                          <w:rFonts w:ascii="Arial" w:eastAsia="Times New Roman" w:hAnsi="Arial" w:cs="Arial"/>
                                                          <w:color w:val="222222"/>
                                                          <w:sz w:val="21"/>
                                                          <w:szCs w:val="21"/>
                                                        </w:rPr>
                                                      </w:pPr>
                                                      <w:r>
                                                        <w:rPr>
                                                          <w:rStyle w:val="Strong"/>
                                                          <w:rFonts w:ascii="Arial" w:eastAsia="Times New Roman" w:hAnsi="Arial" w:cs="Arial"/>
                                                          <w:color w:val="222222"/>
                                                          <w:sz w:val="21"/>
                                                          <w:szCs w:val="21"/>
                                                        </w:rPr>
                                                        <w:t>Please note</w:t>
                                                      </w:r>
                                                      <w:r>
                                                        <w:rPr>
                                                          <w:rFonts w:ascii="Arial" w:eastAsia="Times New Roman" w:hAnsi="Arial" w:cs="Arial"/>
                                                          <w:color w:val="222222"/>
                                                          <w:sz w:val="21"/>
                                                          <w:szCs w:val="21"/>
                                                        </w:rPr>
                                                        <w:t>: Minimal login information will be required to access the MCG Behavioral Health Guidelines.</w:t>
                                                      </w:r>
                                                    </w:p>
                                                    <w:p w:rsidR="005C4424" w:rsidRDefault="005C4424">
                                                      <w:pPr>
                                                        <w:numPr>
                                                          <w:ilvl w:val="0"/>
                                                          <w:numId w:val="3"/>
                                                        </w:numPr>
                                                        <w:spacing w:before="100" w:beforeAutospacing="1" w:after="100" w:afterAutospacing="1" w:line="285" w:lineRule="atLeast"/>
                                                        <w:rPr>
                                                          <w:rFonts w:ascii="Arial" w:eastAsia="Times New Roman" w:hAnsi="Arial" w:cs="Arial"/>
                                                          <w:color w:val="222222"/>
                                                          <w:sz w:val="21"/>
                                                          <w:szCs w:val="21"/>
                                                        </w:rPr>
                                                      </w:pPr>
                                                      <w:r>
                                                        <w:rPr>
                                                          <w:rFonts w:ascii="Arial" w:eastAsia="Times New Roman" w:hAnsi="Arial" w:cs="Arial"/>
                                                          <w:color w:val="222222"/>
                                                          <w:sz w:val="21"/>
                                                          <w:szCs w:val="21"/>
                                                        </w:rPr>
                                                        <w:t>The new guidelines will present a change in how you access clinical criteria for treating patients with Cigna coverage. We are committed to supporting you through this transition and strive to minimize any disruption to you and your patients.</w:t>
                                                      </w:r>
                                                    </w:p>
                                                  </w:tc>
                                                </w:tr>
                                                <w:tr w:rsidR="005C4424">
                                                  <w:tc>
                                                    <w:tcPr>
                                                      <w:tcW w:w="0" w:type="auto"/>
                                                      <w:tcMar>
                                                        <w:top w:w="0" w:type="dxa"/>
                                                        <w:left w:w="210" w:type="dxa"/>
                                                        <w:bottom w:w="0" w:type="dxa"/>
                                                        <w:right w:w="0" w:type="dxa"/>
                                                      </w:tcMar>
                                                      <w:hideMark/>
                                                    </w:tcPr>
                                                    <w:p w:rsidR="005C4424" w:rsidRDefault="005C4424">
                                                      <w:pPr>
                                                        <w:spacing w:line="285" w:lineRule="atLeast"/>
                                                        <w:rPr>
                                                          <w:rFonts w:ascii="Arial" w:eastAsia="Times New Roman" w:hAnsi="Arial" w:cs="Arial"/>
                                                          <w:color w:val="222222"/>
                                                          <w:sz w:val="21"/>
                                                          <w:szCs w:val="21"/>
                                                        </w:rPr>
                                                      </w:pPr>
                                                      <w:r>
                                                        <w:rPr>
                                                          <w:rStyle w:val="Strong"/>
                                                          <w:rFonts w:ascii="Arial" w:eastAsia="Times New Roman" w:hAnsi="Arial" w:cs="Arial"/>
                                                          <w:color w:val="188CCC"/>
                                                        </w:rPr>
                                                        <w:t>What's staying the same?</w:t>
                                                      </w:r>
                                                    </w:p>
                                                    <w:p w:rsidR="005C4424" w:rsidRDefault="005C4424">
                                                      <w:pPr>
                                                        <w:numPr>
                                                          <w:ilvl w:val="0"/>
                                                          <w:numId w:val="4"/>
                                                        </w:numPr>
                                                        <w:spacing w:before="100" w:beforeAutospacing="1" w:after="100" w:afterAutospacing="1" w:line="285" w:lineRule="atLeast"/>
                                                        <w:rPr>
                                                          <w:rFonts w:ascii="Arial" w:eastAsia="Times New Roman" w:hAnsi="Arial" w:cs="Arial"/>
                                                          <w:color w:val="222222"/>
                                                          <w:sz w:val="21"/>
                                                          <w:szCs w:val="21"/>
                                                        </w:rPr>
                                                      </w:pPr>
                                                      <w:r>
                                                        <w:rPr>
                                                          <w:rFonts w:ascii="Arial" w:eastAsia="Times New Roman" w:hAnsi="Arial" w:cs="Arial"/>
                                                          <w:color w:val="222222"/>
                                                          <w:sz w:val="21"/>
                                                          <w:szCs w:val="21"/>
                                                        </w:rPr>
                                                        <w:t>The MCG Behavioral Health Guidelines do not replace clinical judgment, and we recognize that they require adaptation to the unique situations of each individual patient, as well as to relevant state and federal regulations and licensing standards.</w:t>
                                                      </w:r>
                                                    </w:p>
                                                    <w:p w:rsidR="005C4424" w:rsidRDefault="005C4424">
                                                      <w:pPr>
                                                        <w:numPr>
                                                          <w:ilvl w:val="0"/>
                                                          <w:numId w:val="4"/>
                                                        </w:numPr>
                                                        <w:spacing w:before="100" w:beforeAutospacing="1" w:after="100" w:afterAutospacing="1" w:line="285" w:lineRule="atLeast"/>
                                                        <w:rPr>
                                                          <w:rFonts w:ascii="Arial" w:eastAsia="Times New Roman" w:hAnsi="Arial" w:cs="Arial"/>
                                                          <w:color w:val="222222"/>
                                                          <w:sz w:val="21"/>
                                                          <w:szCs w:val="21"/>
                                                        </w:rPr>
                                                      </w:pPr>
                                                      <w:r>
                                                        <w:rPr>
                                                          <w:rFonts w:ascii="Arial" w:eastAsia="Times New Roman" w:hAnsi="Arial" w:cs="Arial"/>
                                                          <w:color w:val="222222"/>
                                                          <w:sz w:val="21"/>
                                                          <w:szCs w:val="21"/>
                                                        </w:rPr>
                                                        <w:lastRenderedPageBreak/>
                                                        <w:t>Our goal has always been to use the latest evidence-based literature to provide the most appropriate and effective patient care.</w:t>
                                                      </w:r>
                                                    </w:p>
                                                    <w:p w:rsidR="005C4424" w:rsidRDefault="005C4424">
                                                      <w:pPr>
                                                        <w:numPr>
                                                          <w:ilvl w:val="0"/>
                                                          <w:numId w:val="4"/>
                                                        </w:numPr>
                                                        <w:spacing w:before="100" w:beforeAutospacing="1" w:after="100" w:afterAutospacing="1" w:line="285" w:lineRule="atLeast"/>
                                                        <w:rPr>
                                                          <w:rFonts w:ascii="Arial" w:eastAsia="Times New Roman" w:hAnsi="Arial" w:cs="Arial"/>
                                                          <w:color w:val="222222"/>
                                                          <w:sz w:val="21"/>
                                                          <w:szCs w:val="21"/>
                                                        </w:rPr>
                                                      </w:pPr>
                                                      <w:r>
                                                        <w:rPr>
                                                          <w:rFonts w:ascii="Arial" w:eastAsia="Times New Roman" w:hAnsi="Arial" w:cs="Arial"/>
                                                          <w:color w:val="222222"/>
                                                          <w:sz w:val="21"/>
                                                          <w:szCs w:val="21"/>
                                                        </w:rPr>
                                                        <w:t xml:space="preserve">We will continue to use: </w:t>
                                                      </w:r>
                                                    </w:p>
                                                    <w:p w:rsidR="005C4424" w:rsidRDefault="005C4424">
                                                      <w:pPr>
                                                        <w:numPr>
                                                          <w:ilvl w:val="1"/>
                                                          <w:numId w:val="4"/>
                                                        </w:numPr>
                                                        <w:spacing w:before="100" w:beforeAutospacing="1" w:after="100" w:afterAutospacing="1" w:line="285" w:lineRule="atLeast"/>
                                                        <w:rPr>
                                                          <w:rFonts w:ascii="Arial" w:eastAsia="Times New Roman" w:hAnsi="Arial" w:cs="Arial"/>
                                                          <w:color w:val="222222"/>
                                                          <w:sz w:val="21"/>
                                                          <w:szCs w:val="21"/>
                                                        </w:rPr>
                                                      </w:pPr>
                                                      <w:r>
                                                        <w:rPr>
                                                          <w:rFonts w:ascii="Arial" w:eastAsia="Times New Roman" w:hAnsi="Arial" w:cs="Arial"/>
                                                          <w:color w:val="222222"/>
                                                          <w:sz w:val="21"/>
                                                          <w:szCs w:val="21"/>
                                                        </w:rPr>
                                                        <w:t>The ASAM criteria, developed by the American Society of Addiction Medicine (</w:t>
                                                      </w:r>
                                                      <w:r>
                                                        <w:rPr>
                                                          <w:rStyle w:val="Emphasis"/>
                                                          <w:rFonts w:ascii="Arial" w:eastAsia="Times New Roman" w:hAnsi="Arial" w:cs="Arial"/>
                                                          <w:color w:val="222222"/>
                                                          <w:sz w:val="21"/>
                                                          <w:szCs w:val="21"/>
                                                        </w:rPr>
                                                        <w:t>see above</w:t>
                                                      </w:r>
                                                      <w:r>
                                                        <w:rPr>
                                                          <w:rFonts w:ascii="Arial" w:eastAsia="Times New Roman" w:hAnsi="Arial" w:cs="Arial"/>
                                                          <w:color w:val="222222"/>
                                                          <w:sz w:val="21"/>
                                                          <w:szCs w:val="21"/>
                                                        </w:rPr>
                                                        <w:t>)</w:t>
                                                      </w:r>
                                                    </w:p>
                                                    <w:p w:rsidR="005C4424" w:rsidRDefault="005C4424">
                                                      <w:pPr>
                                                        <w:numPr>
                                                          <w:ilvl w:val="1"/>
                                                          <w:numId w:val="4"/>
                                                        </w:numPr>
                                                        <w:spacing w:before="100" w:beforeAutospacing="1" w:after="100" w:afterAutospacing="1" w:line="285" w:lineRule="atLeast"/>
                                                        <w:rPr>
                                                          <w:rFonts w:ascii="Arial" w:eastAsia="Times New Roman" w:hAnsi="Arial" w:cs="Arial"/>
                                                          <w:color w:val="222222"/>
                                                          <w:sz w:val="21"/>
                                                          <w:szCs w:val="21"/>
                                                        </w:rPr>
                                                      </w:pPr>
                                                      <w:r>
                                                        <w:rPr>
                                                          <w:rFonts w:ascii="Arial" w:eastAsia="Times New Roman" w:hAnsi="Arial" w:cs="Arial"/>
                                                          <w:color w:val="222222"/>
                                                          <w:sz w:val="21"/>
                                                          <w:szCs w:val="21"/>
                                                        </w:rPr>
                                                        <w:t>Cigna Medical Coverage Policies for Autism Spectrum Disorders/Pervasive Developmental Disorders, Transcranial Magnetic Stimulation (TMS), Neuropsychology Testing, and Complementary and Alternative Medicine</w:t>
                                                      </w:r>
                                                    </w:p>
                                                  </w:tc>
                                                </w:tr>
                                              </w:tbl>
                                              <w:p w:rsidR="005C4424" w:rsidRDefault="005C4424">
                                                <w:pPr>
                                                  <w:rPr>
                                                    <w:rFonts w:eastAsia="Times New Roman"/>
                                                    <w:sz w:val="20"/>
                                                    <w:szCs w:val="20"/>
                                                  </w:rPr>
                                                </w:pPr>
                                              </w:p>
                                            </w:tc>
                                          </w:tr>
                                        </w:tbl>
                                        <w:p w:rsidR="005C4424" w:rsidRDefault="005C4424">
                                          <w:pPr>
                                            <w:rPr>
                                              <w:rFonts w:eastAsia="Times New Roman"/>
                                              <w:sz w:val="20"/>
                                              <w:szCs w:val="20"/>
                                            </w:rPr>
                                          </w:pPr>
                                        </w:p>
                                      </w:tc>
                                    </w:tr>
                                  </w:tbl>
                                  <w:p w:rsidR="005C4424" w:rsidRDefault="005C4424">
                                    <w:pPr>
                                      <w:pStyle w:val="NormalWeb"/>
                                      <w:spacing w:before="150" w:after="0" w:line="270" w:lineRule="atLeast"/>
                                      <w:rPr>
                                        <w:color w:val="188CCC"/>
                                        <w:sz w:val="21"/>
                                        <w:szCs w:val="21"/>
                                      </w:rPr>
                                    </w:pPr>
                                    <w:r>
                                      <w:rPr>
                                        <w:rStyle w:val="Strong"/>
                                        <w:color w:val="188CCC"/>
                                        <w:sz w:val="21"/>
                                        <w:szCs w:val="21"/>
                                      </w:rPr>
                                      <w:lastRenderedPageBreak/>
                                      <w:t>Additional information</w:t>
                                    </w:r>
                                  </w:p>
                                  <w:p w:rsidR="005C4424" w:rsidRDefault="005C4424">
                                    <w:pPr>
                                      <w:pStyle w:val="NormalWeb"/>
                                    </w:pPr>
                                    <w:r>
                                      <w:t xml:space="preserve">At the end of November 2020, you will be able to access all of our evidence-based criteria and clinical support tools, including the new MCG Behavioral Health Guidelines, in one location at </w:t>
                                    </w:r>
                                    <w:hyperlink r:id="rId12" w:history="1">
                                      <w:r>
                                        <w:rPr>
                                          <w:rStyle w:val="Hyperlink"/>
                                        </w:rPr>
                                        <w:t>CignaforHCP.com</w:t>
                                      </w:r>
                                    </w:hyperlink>
                                    <w:r>
                                      <w:t xml:space="preserve"> &gt; </w:t>
                                    </w:r>
                                    <w:hyperlink r:id="rId13" w:history="1">
                                      <w:r>
                                        <w:rPr>
                                          <w:rStyle w:val="Hyperlink"/>
                                        </w:rPr>
                                        <w:t>Coverage Policies</w:t>
                                      </w:r>
                                    </w:hyperlink>
                                    <w:r>
                                      <w:t xml:space="preserve">, see </w:t>
                                    </w:r>
                                    <w:r>
                                      <w:rPr>
                                        <w:rStyle w:val="Emphasis"/>
                                      </w:rPr>
                                      <w:t>Supporting Behavioral Websites</w:t>
                                    </w:r>
                                    <w:r>
                                      <w:t>.</w:t>
                                    </w:r>
                                  </w:p>
                                  <w:p w:rsidR="005C4424" w:rsidRDefault="005C4424">
                                    <w:pPr>
                                      <w:pStyle w:val="NormalWeb"/>
                                    </w:pPr>
                                    <w:r>
                                      <w:t>Please continue to watch your email for more updates about this topic.</w:t>
                                    </w:r>
                                  </w:p>
                                  <w:p w:rsidR="005C4424" w:rsidRDefault="005C4424">
                                    <w:pPr>
                                      <w:pStyle w:val="NormalWeb"/>
                                    </w:pPr>
                                    <w:r>
                                      <w:t>If you have questions, please contact Provider Services at 800.926.2273.</w:t>
                                    </w:r>
                                  </w:p>
                                </w:tc>
                                <w:tc>
                                  <w:tcPr>
                                    <w:tcW w:w="6" w:type="dxa"/>
                                    <w:hideMark/>
                                  </w:tcPr>
                                  <w:p w:rsidR="005C4424" w:rsidRDefault="005C4424"/>
                                </w:tc>
                              </w:tr>
                            </w:tbl>
                            <w:p w:rsidR="005C4424" w:rsidRDefault="005C4424">
                              <w:pPr>
                                <w:rPr>
                                  <w:rFonts w:eastAsia="Times New Roman"/>
                                  <w:sz w:val="20"/>
                                  <w:szCs w:val="20"/>
                                </w:rPr>
                              </w:pPr>
                            </w:p>
                          </w:tc>
                        </w:tr>
                        <w:tr w:rsidR="005C4424">
                          <w:tc>
                            <w:tcPr>
                              <w:tcW w:w="6" w:type="dxa"/>
                              <w:hideMark/>
                            </w:tcPr>
                            <w:p w:rsidR="005C4424" w:rsidRDefault="005C4424">
                              <w:pPr>
                                <w:rPr>
                                  <w:rFonts w:eastAsia="Times New Roman"/>
                                  <w:sz w:val="20"/>
                                  <w:szCs w:val="20"/>
                                </w:rPr>
                              </w:pPr>
                            </w:p>
                          </w:tc>
                        </w:tr>
                      </w:tbl>
                      <w:p w:rsidR="005C4424" w:rsidRDefault="005C4424">
                        <w:pPr>
                          <w:rPr>
                            <w:rFonts w:eastAsia="Times New Roman"/>
                            <w:sz w:val="20"/>
                            <w:szCs w:val="20"/>
                          </w:rPr>
                        </w:pPr>
                      </w:p>
                    </w:tc>
                  </w:tr>
                </w:tbl>
                <w:p w:rsidR="005C4424" w:rsidRDefault="005C4424">
                  <w:pPr>
                    <w:rPr>
                      <w:rFonts w:eastAsia="Times New Roman"/>
                      <w:sz w:val="20"/>
                      <w:szCs w:val="20"/>
                    </w:rPr>
                  </w:pPr>
                </w:p>
              </w:tc>
            </w:tr>
            <w:tr w:rsidR="005C4424">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706"/>
                  </w:tblGrid>
                  <w:tr w:rsidR="005C4424">
                    <w:tc>
                      <w:tcPr>
                        <w:tcW w:w="0" w:type="auto"/>
                        <w:hideMark/>
                      </w:tcPr>
                      <w:tbl>
                        <w:tblPr>
                          <w:tblW w:w="8700" w:type="dxa"/>
                          <w:tblCellMar>
                            <w:left w:w="0" w:type="dxa"/>
                            <w:right w:w="0" w:type="dxa"/>
                          </w:tblCellMar>
                          <w:tblLook w:val="04A0" w:firstRow="1" w:lastRow="0" w:firstColumn="1" w:lastColumn="0" w:noHBand="0" w:noVBand="1"/>
                        </w:tblPr>
                        <w:tblGrid>
                          <w:gridCol w:w="8700"/>
                        </w:tblGrid>
                        <w:tr w:rsidR="005C4424">
                          <w:tc>
                            <w:tcPr>
                              <w:tcW w:w="0" w:type="auto"/>
                              <w:hideMark/>
                            </w:tcPr>
                            <w:p w:rsidR="005C4424" w:rsidRDefault="005C4424">
                              <w:pPr>
                                <w:rPr>
                                  <w:rFonts w:eastAsia="Times New Roman"/>
                                  <w:sz w:val="20"/>
                                  <w:szCs w:val="20"/>
                                </w:rPr>
                              </w:pPr>
                            </w:p>
                          </w:tc>
                        </w:tr>
                      </w:tbl>
                      <w:p w:rsidR="005C4424" w:rsidRDefault="005C4424">
                        <w:pPr>
                          <w:rPr>
                            <w:rFonts w:eastAsia="Times New Roman"/>
                            <w:sz w:val="20"/>
                            <w:szCs w:val="20"/>
                          </w:rPr>
                        </w:pPr>
                      </w:p>
                    </w:tc>
                  </w:tr>
                </w:tbl>
                <w:p w:rsidR="005C4424" w:rsidRDefault="005C4424">
                  <w:pPr>
                    <w:rPr>
                      <w:rFonts w:eastAsia="Times New Roman"/>
                      <w:sz w:val="20"/>
                      <w:szCs w:val="20"/>
                    </w:rPr>
                  </w:pPr>
                </w:p>
              </w:tc>
            </w:tr>
            <w:tr w:rsidR="005C4424">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706"/>
                  </w:tblGrid>
                  <w:tr w:rsidR="005C4424">
                    <w:tc>
                      <w:tcPr>
                        <w:tcW w:w="0" w:type="auto"/>
                        <w:hideMark/>
                      </w:tcPr>
                      <w:tbl>
                        <w:tblPr>
                          <w:tblW w:w="8700" w:type="dxa"/>
                          <w:tblCellMar>
                            <w:left w:w="0" w:type="dxa"/>
                            <w:right w:w="0" w:type="dxa"/>
                          </w:tblCellMar>
                          <w:tblLook w:val="04A0" w:firstRow="1" w:lastRow="0" w:firstColumn="1" w:lastColumn="0" w:noHBand="0" w:noVBand="1"/>
                        </w:tblPr>
                        <w:tblGrid>
                          <w:gridCol w:w="8700"/>
                        </w:tblGrid>
                        <w:tr w:rsidR="005C4424">
                          <w:tc>
                            <w:tcPr>
                              <w:tcW w:w="0" w:type="auto"/>
                              <w:tcMar>
                                <w:top w:w="0" w:type="dxa"/>
                                <w:left w:w="450" w:type="dxa"/>
                                <w:bottom w:w="300" w:type="dxa"/>
                                <w:right w:w="450" w:type="dxa"/>
                              </w:tcMar>
                              <w:hideMark/>
                            </w:tcPr>
                            <w:tbl>
                              <w:tblPr>
                                <w:tblW w:w="5000" w:type="pct"/>
                                <w:tblCellMar>
                                  <w:left w:w="0" w:type="dxa"/>
                                  <w:right w:w="0" w:type="dxa"/>
                                </w:tblCellMar>
                                <w:tblLook w:val="04A0" w:firstRow="1" w:lastRow="0" w:firstColumn="1" w:lastColumn="0" w:noHBand="0" w:noVBand="1"/>
                              </w:tblPr>
                              <w:tblGrid>
                                <w:gridCol w:w="7800"/>
                              </w:tblGrid>
                              <w:tr w:rsidR="005C4424">
                                <w:tc>
                                  <w:tcPr>
                                    <w:tcW w:w="0" w:type="auto"/>
                                    <w:hideMark/>
                                  </w:tcPr>
                                  <w:p w:rsidR="005C4424" w:rsidRDefault="005C4424">
                                    <w:pPr>
                                      <w:rPr>
                                        <w:rFonts w:eastAsia="Times New Roman"/>
                                        <w:sz w:val="20"/>
                                        <w:szCs w:val="20"/>
                                      </w:rPr>
                                    </w:pPr>
                                  </w:p>
                                </w:tc>
                              </w:tr>
                            </w:tbl>
                            <w:p w:rsidR="005C4424" w:rsidRDefault="005C4424">
                              <w:pPr>
                                <w:spacing w:line="225" w:lineRule="atLeast"/>
                                <w:rPr>
                                  <w:rFonts w:ascii="Arial" w:eastAsia="Times New Roman" w:hAnsi="Arial" w:cs="Arial"/>
                                  <w:color w:val="6D6E71"/>
                                  <w:sz w:val="17"/>
                                  <w:szCs w:val="17"/>
                                </w:rPr>
                              </w:pPr>
                              <w:r>
                                <w:rPr>
                                  <w:rFonts w:ascii="Arial" w:eastAsia="Times New Roman" w:hAnsi="Arial" w:cs="Arial"/>
                                  <w:color w:val="6D6E71"/>
                                  <w:sz w:val="17"/>
                                  <w:szCs w:val="17"/>
                                </w:rPr>
                                <w:br/>
                              </w:r>
                              <w:r>
                                <w:rPr>
                                  <w:rFonts w:ascii="Arial" w:eastAsia="Times New Roman" w:hAnsi="Arial" w:cs="Arial"/>
                                  <w:color w:val="6D6E71"/>
                                  <w:sz w:val="17"/>
                                  <w:szCs w:val="17"/>
                                </w:rPr>
                                <w:br/>
                                <w:t xml:space="preserve">* The </w:t>
                              </w:r>
                              <w:hyperlink r:id="rId14" w:history="1">
                                <w:r>
                                  <w:rPr>
                                    <w:rStyle w:val="Hyperlink"/>
                                    <w:rFonts w:ascii="Arial" w:eastAsia="Times New Roman" w:hAnsi="Arial" w:cs="Arial"/>
                                    <w:sz w:val="17"/>
                                    <w:szCs w:val="17"/>
                                  </w:rPr>
                                  <w:t>Cigna Standards and Guidelines/Medical Necessity Criteria for Treatment of Mental Health Disorders</w:t>
                                </w:r>
                              </w:hyperlink>
                              <w:r>
                                <w:rPr>
                                  <w:rFonts w:ascii="Arial" w:eastAsia="Times New Roman" w:hAnsi="Arial" w:cs="Arial"/>
                                  <w:color w:val="6D6E71"/>
                                  <w:sz w:val="17"/>
                                  <w:szCs w:val="17"/>
                                </w:rPr>
                                <w:t xml:space="preserve"> will be accessible until November 2021 for regulatory and reference purposes. We will continue to use this criteria for episodes of care that began prior to November 27, 2020.</w:t>
                              </w:r>
                              <w:r>
                                <w:rPr>
                                  <w:rFonts w:ascii="Arial" w:eastAsia="Times New Roman" w:hAnsi="Arial" w:cs="Arial"/>
                                  <w:color w:val="6D6E71"/>
                                  <w:sz w:val="17"/>
                                  <w:szCs w:val="17"/>
                                </w:rPr>
                                <w:br/>
                              </w:r>
                              <w:r>
                                <w:rPr>
                                  <w:rFonts w:ascii="Arial" w:eastAsia="Times New Roman" w:hAnsi="Arial" w:cs="Arial"/>
                                  <w:color w:val="6D6E71"/>
                                  <w:sz w:val="17"/>
                                  <w:szCs w:val="17"/>
                                </w:rPr>
                                <w:br/>
                                <w:t>All Cigna products and services are provided exclusively by or through operating subsidiaries of Cigna Corporation, including Cigna Health and Life Insurance Company, Connecticut General Life Insurance Company, Cigna Behavioral Health, Inc., and HMO or service company subsidiaries of Cigna Health Corporation. The Cigna name, logo, and other Cigna marks are owned by Cigna Intellectual Property, Inc.</w:t>
                              </w:r>
                              <w:r>
                                <w:rPr>
                                  <w:rFonts w:ascii="Arial" w:eastAsia="Times New Roman" w:hAnsi="Arial" w:cs="Arial"/>
                                  <w:color w:val="6D6E71"/>
                                  <w:sz w:val="17"/>
                                  <w:szCs w:val="17"/>
                                </w:rPr>
                                <w:br/>
                              </w:r>
                              <w:r>
                                <w:rPr>
                                  <w:rFonts w:ascii="Arial" w:eastAsia="Times New Roman" w:hAnsi="Arial" w:cs="Arial"/>
                                  <w:color w:val="6D6E71"/>
                                  <w:sz w:val="17"/>
                                  <w:szCs w:val="17"/>
                                </w:rPr>
                                <w:br/>
                                <w:t>PCOMM-2020-826 © 2020 Cigna. Some content provided under license.</w:t>
                              </w:r>
                            </w:p>
                          </w:tc>
                        </w:tr>
                      </w:tbl>
                      <w:p w:rsidR="005C4424" w:rsidRDefault="005C4424">
                        <w:pPr>
                          <w:rPr>
                            <w:rFonts w:eastAsia="Times New Roman"/>
                            <w:sz w:val="20"/>
                            <w:szCs w:val="20"/>
                          </w:rPr>
                        </w:pPr>
                      </w:p>
                    </w:tc>
                  </w:tr>
                </w:tbl>
                <w:p w:rsidR="005C4424" w:rsidRDefault="005C4424">
                  <w:pPr>
                    <w:rPr>
                      <w:rFonts w:eastAsia="Times New Roman"/>
                      <w:sz w:val="20"/>
                      <w:szCs w:val="20"/>
                    </w:rPr>
                  </w:pPr>
                </w:p>
              </w:tc>
            </w:tr>
          </w:tbl>
          <w:p w:rsidR="005C4424" w:rsidRDefault="005C4424">
            <w:pPr>
              <w:jc w:val="center"/>
              <w:rPr>
                <w:rFonts w:eastAsia="Times New Roman"/>
                <w:sz w:val="20"/>
                <w:szCs w:val="20"/>
              </w:rPr>
            </w:pPr>
          </w:p>
        </w:tc>
      </w:tr>
    </w:tbl>
    <w:p w:rsidR="005D6385" w:rsidRDefault="005D6385">
      <w:bookmarkStart w:id="0" w:name="_GoBack"/>
      <w:bookmarkEnd w:id="0"/>
    </w:p>
    <w:sectPr w:rsidR="005D6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87EAC"/>
    <w:multiLevelType w:val="multilevel"/>
    <w:tmpl w:val="A2BC9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8D3588"/>
    <w:multiLevelType w:val="multilevel"/>
    <w:tmpl w:val="9CB8C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343A4C"/>
    <w:multiLevelType w:val="multilevel"/>
    <w:tmpl w:val="87344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1311B4"/>
    <w:multiLevelType w:val="multilevel"/>
    <w:tmpl w:val="8F7C1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424"/>
    <w:rsid w:val="005C4424"/>
    <w:rsid w:val="005D6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6852392-624D-4E53-88B9-701E53FC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42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4424"/>
    <w:rPr>
      <w:strike w:val="0"/>
      <w:dstrike w:val="0"/>
      <w:color w:val="0083CA"/>
      <w:u w:val="none"/>
      <w:effect w:val="none"/>
      <w:bdr w:val="none" w:sz="0" w:space="0" w:color="auto" w:frame="1"/>
    </w:rPr>
  </w:style>
  <w:style w:type="paragraph" w:styleId="NormalWeb">
    <w:name w:val="Normal (Web)"/>
    <w:basedOn w:val="Normal"/>
    <w:uiPriority w:val="99"/>
    <w:semiHidden/>
    <w:unhideWhenUsed/>
    <w:rsid w:val="005C4424"/>
    <w:pPr>
      <w:spacing w:after="150"/>
    </w:pPr>
    <w:rPr>
      <w:rFonts w:ascii="Arial" w:hAnsi="Arial" w:cs="Arial"/>
      <w:color w:val="222222"/>
    </w:rPr>
  </w:style>
  <w:style w:type="character" w:styleId="Strong">
    <w:name w:val="Strong"/>
    <w:basedOn w:val="DefaultParagraphFont"/>
    <w:uiPriority w:val="22"/>
    <w:qFormat/>
    <w:rsid w:val="005C4424"/>
    <w:rPr>
      <w:b/>
      <w:bCs/>
    </w:rPr>
  </w:style>
  <w:style w:type="character" w:styleId="Emphasis">
    <w:name w:val="Emphasis"/>
    <w:basedOn w:val="DefaultParagraphFont"/>
    <w:uiPriority w:val="20"/>
    <w:qFormat/>
    <w:rsid w:val="005C4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38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waymail.com_maximail_link.htm-3Ftrlnkid-3D149567A93848A189589909&amp;d=DwMCaQ&amp;c=xn8flH6DOXBk6JKHH02eLJq194X6KF7E4brKNzAQIFY&amp;r=_cnKA8bxU5E8JC0Ey4kgoKiT6j7mot8S4lNsEDAh-No&amp;m=eobG5MXD_2sHn6HRLcNHnYVZyRU2UOH7cxxW9MHDIAs&amp;s=_WnQV5CI0ht1ovzySlmelxVAMw_c7PQRPukhLumReKE&amp;e=" TargetMode="External"/><Relationship Id="rId13" Type="http://schemas.openxmlformats.org/officeDocument/2006/relationships/hyperlink" Target="https://urldefense.proofpoint.com/v2/url?u=https-3A__www.waymail.com_maximail_link.htm-3Ftrlnkid-3D149567A93848A189589909&amp;d=DwMCaQ&amp;c=xn8flH6DOXBk6JKHH02eLJq194X6KF7E4brKNzAQIFY&amp;r=_cnKA8bxU5E8JC0Ey4kgoKiT6j7mot8S4lNsEDAh-No&amp;m=eobG5MXD_2sHn6HRLcNHnYVZyRU2UOH7cxxW9MHDIAs&amp;s=_WnQV5CI0ht1ovzySlmelxVAMw_c7PQRPukhLumReKE&amp;e=" TargetMode="External"/><Relationship Id="rId3" Type="http://schemas.openxmlformats.org/officeDocument/2006/relationships/settings" Target="settings.xml"/><Relationship Id="rId7" Type="http://schemas.openxmlformats.org/officeDocument/2006/relationships/hyperlink" Target="https://urldefense.proofpoint.com/v2/url?u=https-3A__www.waymail.com_maximail_link.htm-3Ftrlnkid-3D149565A93848A189589909&amp;d=DwMCaQ&amp;c=xn8flH6DOXBk6JKHH02eLJq194X6KF7E4brKNzAQIFY&amp;r=_cnKA8bxU5E8JC0Ey4kgoKiT6j7mot8S4lNsEDAh-No&amp;m=eobG5MXD_2sHn6HRLcNHnYVZyRU2UOH7cxxW9MHDIAs&amp;s=bUj4B1k3BjkbYtzplF4oE_gAmfl2FCabekcPeRUUYF8&amp;e=" TargetMode="External"/><Relationship Id="rId12" Type="http://schemas.openxmlformats.org/officeDocument/2006/relationships/hyperlink" Target="https://urldefense.proofpoint.com/v2/url?u=https-3A__www.waymail.com_maximail_link.htm-3Ftrlnkid-3D149564A93848A189589909&amp;d=DwMCaQ&amp;c=xn8flH6DOXBk6JKHH02eLJq194X6KF7E4brKNzAQIFY&amp;r=_cnKA8bxU5E8JC0Ey4kgoKiT6j7mot8S4lNsEDAh-No&amp;m=eobG5MXD_2sHn6HRLcNHnYVZyRU2UOH7cxxW9MHDIAs&amp;s=lFAuOc5YztbFHjxwEaB_8ACIKvFi8hwAjBFzZ71PQY8&am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rldefense.proofpoint.com/v2/url?u=https-3A__www.waymail.com_maximail_link.htm-3Ftrlnkid-3D149568A93848A189589909&amp;d=DwMCaQ&amp;c=xn8flH6DOXBk6JKHH02eLJq194X6KF7E4brKNzAQIFY&amp;r=_cnKA8bxU5E8JC0Ey4kgoKiT6j7mot8S4lNsEDAh-No&amp;m=eobG5MXD_2sHn6HRLcNHnYVZyRU2UOH7cxxW9MHDIAs&amp;s=PZuO9f7VzL8Aa727gZw7aeIGqMUZTzZLQKhK-PzBc9Y&amp;e=" TargetMode="External"/><Relationship Id="rId11" Type="http://schemas.openxmlformats.org/officeDocument/2006/relationships/hyperlink" Target="https://urldefense.proofpoint.com/v2/url?u=https-3A__www.waymail.com_maximail_link.htm-3Ftrlnkid-3D149567A93848A189589909&amp;d=DwMCaQ&amp;c=xn8flH6DOXBk6JKHH02eLJq194X6KF7E4brKNzAQIFY&amp;r=_cnKA8bxU5E8JC0Ey4kgoKiT6j7mot8S4lNsEDAh-No&amp;m=eobG5MXD_2sHn6HRLcNHnYVZyRU2UOH7cxxW9MHDIAs&amp;s=_WnQV5CI0ht1ovzySlmelxVAMw_c7PQRPukhLumReKE&amp;e=" TargetMode="External"/><Relationship Id="rId5" Type="http://schemas.openxmlformats.org/officeDocument/2006/relationships/image" Target="https://www.waymail.com/maximail/img/81322_0.png" TargetMode="External"/><Relationship Id="rId15" Type="http://schemas.openxmlformats.org/officeDocument/2006/relationships/fontTable" Target="fontTable.xml"/><Relationship Id="rId10" Type="http://schemas.openxmlformats.org/officeDocument/2006/relationships/hyperlink" Target="https://urldefense.proofpoint.com/v2/url?u=https-3A__www.waymail.com_maximail_link.htm-3Ftrlnkid-3D149564A93848A189589909&amp;d=DwMCaQ&amp;c=xn8flH6DOXBk6JKHH02eLJq194X6KF7E4brKNzAQIFY&amp;r=_cnKA8bxU5E8JC0Ey4kgoKiT6j7mot8S4lNsEDAh-No&amp;m=eobG5MXD_2sHn6HRLcNHnYVZyRU2UOH7cxxW9MHDIAs&amp;s=lFAuOc5YztbFHjxwEaB_8ACIKvFi8hwAjBFzZ71PQY8&amp;e=" TargetMode="External"/><Relationship Id="rId4" Type="http://schemas.openxmlformats.org/officeDocument/2006/relationships/webSettings" Target="webSettings.xml"/><Relationship Id="rId9" Type="http://schemas.openxmlformats.org/officeDocument/2006/relationships/hyperlink" Target="https://urldefense.proofpoint.com/v2/url?u=https-3A__www.waymail.com_maximail_link.htm-3Ftrlnkid-3D149566A93848A189589909&amp;d=DwMCaQ&amp;c=xn8flH6DOXBk6JKHH02eLJq194X6KF7E4brKNzAQIFY&amp;r=_cnKA8bxU5E8JC0Ey4kgoKiT6j7mot8S4lNsEDAh-No&amp;m=eobG5MXD_2sHn6HRLcNHnYVZyRU2UOH7cxxW9MHDIAs&amp;s=R8BErwG5Ck1lWIW0x7uRA-c0vRAr5NkT-3zTlNlyXSM&amp;e=" TargetMode="External"/><Relationship Id="rId14" Type="http://schemas.openxmlformats.org/officeDocument/2006/relationships/hyperlink" Target="https://urldefense.proofpoint.com/v2/url?u=https-3A__www.waymail.com_maximail_link.htm-3Ftrlnkid-3D149568A93848A189589909&amp;d=DwMCaQ&amp;c=xn8flH6DOXBk6JKHH02eLJq194X6KF7E4brKNzAQIFY&amp;r=_cnKA8bxU5E8JC0Ey4kgoKiT6j7mot8S4lNsEDAh-No&amp;m=eobG5MXD_2sHn6HRLcNHnYVZyRU2UOH7cxxW9MHDIAs&amp;s=PZuO9f7VzL8Aa727gZw7aeIGqMUZTzZLQKhK-PzBc9Y&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1236</Words>
  <Characters>7048</Characters>
  <Application>Microsoft Office Word</Application>
  <DocSecurity>0</DocSecurity>
  <Lines>58</Lines>
  <Paragraphs>16</Paragraphs>
  <ScaleCrop>false</ScaleCrop>
  <Company>Med Center Health</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Racel, Lori L</dc:creator>
  <cp:keywords/>
  <dc:description/>
  <cp:lastModifiedBy>Racel, Lori L</cp:lastModifiedBy>
  <cp:revision>1</cp:revision>
  <dcterms:created xsi:type="dcterms:W3CDTF">2020-10-07T16:27:00Z</dcterms:created>
  <dcterms:modified xsi:type="dcterms:W3CDTF">2020-10-07T16:28:00Z</dcterms:modified>
</cp:coreProperties>
</file>