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0F0F0"/>
        <w:tblCellMar>
          <w:left w:w="0" w:type="dxa"/>
          <w:right w:w="0" w:type="dxa"/>
        </w:tblCellMar>
        <w:tblLook w:val="04A0" w:firstRow="1" w:lastRow="0" w:firstColumn="1" w:lastColumn="0" w:noHBand="0" w:noVBand="1"/>
      </w:tblPr>
      <w:tblGrid>
        <w:gridCol w:w="9360"/>
      </w:tblGrid>
      <w:tr w:rsidR="00D141E0" w:rsidTr="00D141E0">
        <w:trPr>
          <w:tblCellSpacing w:w="0" w:type="dxa"/>
        </w:trPr>
        <w:tc>
          <w:tcPr>
            <w:tcW w:w="0" w:type="auto"/>
            <w:shd w:val="clear" w:color="auto" w:fill="F0F0F0"/>
            <w:vAlign w:val="cente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D141E0">
              <w:trPr>
                <w:tblCellSpacing w:w="0" w:type="dxa"/>
                <w:jc w:val="center"/>
              </w:trPr>
              <w:tc>
                <w:tcPr>
                  <w:tcW w:w="0" w:type="auto"/>
                  <w:tcMar>
                    <w:top w:w="150"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D141E0">
                    <w:trPr>
                      <w:tblCellSpacing w:w="0" w:type="dxa"/>
                    </w:trPr>
                    <w:tc>
                      <w:tcPr>
                        <w:tcW w:w="0" w:type="auto"/>
                        <w:vAlign w:val="center"/>
                        <w:hideMark/>
                      </w:tcPr>
                      <w:p w:rsidR="00D141E0" w:rsidRDefault="00D141E0">
                        <w:pPr>
                          <w:spacing w:line="0" w:lineRule="atLeast"/>
                          <w:rPr>
                            <w:rFonts w:eastAsia="Times New Roman"/>
                            <w:sz w:val="2"/>
                            <w:szCs w:val="2"/>
                          </w:rPr>
                        </w:pPr>
                        <w:r>
                          <w:rPr>
                            <w:rFonts w:eastAsia="Times New Roman"/>
                            <w:noProof/>
                            <w:color w:val="0000FF"/>
                            <w:sz w:val="2"/>
                            <w:szCs w:val="2"/>
                          </w:rPr>
                          <w:drawing>
                            <wp:inline distT="0" distB="0" distL="0" distR="0">
                              <wp:extent cx="1295400" cy="685800"/>
                              <wp:effectExtent l="0" t="0" r="0" b="0"/>
                              <wp:docPr id="6" name="Picture 6" descr="Cigna">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g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tc>
                  </w:tr>
                  <w:tr w:rsidR="00D141E0">
                    <w:trPr>
                      <w:trHeight w:val="1560"/>
                      <w:tblCellSpacing w:w="0" w:type="dxa"/>
                    </w:trPr>
                    <w:tc>
                      <w:tcPr>
                        <w:tcW w:w="0" w:type="auto"/>
                        <w:shd w:val="clear" w:color="auto" w:fill="188CCC"/>
                        <w:tcMar>
                          <w:top w:w="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D141E0">
                          <w:trPr>
                            <w:tblCellSpacing w:w="0" w:type="dxa"/>
                          </w:trPr>
                          <w:tc>
                            <w:tcPr>
                              <w:tcW w:w="0" w:type="auto"/>
                              <w:vAlign w:val="center"/>
                              <w:hideMark/>
                            </w:tcPr>
                            <w:p w:rsidR="00D141E0" w:rsidRDefault="00D141E0">
                              <w:pPr>
                                <w:spacing w:line="570" w:lineRule="atLeast"/>
                                <w:rPr>
                                  <w:rFonts w:ascii="Arial" w:eastAsia="Times New Roman" w:hAnsi="Arial" w:cs="Arial"/>
                                  <w:color w:val="FFFFFF"/>
                                  <w:sz w:val="54"/>
                                  <w:szCs w:val="54"/>
                                </w:rPr>
                              </w:pPr>
                              <w:r>
                                <w:rPr>
                                  <w:rStyle w:val="Strong"/>
                                  <w:rFonts w:ascii="Arial" w:eastAsia="Times New Roman" w:hAnsi="Arial" w:cs="Arial"/>
                                  <w:color w:val="FFFFFF"/>
                                  <w:sz w:val="54"/>
                                  <w:szCs w:val="54"/>
                                </w:rPr>
                                <w:t>IMPORTANT INFORMATION FROM CIGNA</w:t>
                              </w:r>
                            </w:p>
                          </w:tc>
                        </w:tr>
                      </w:tbl>
                      <w:p w:rsidR="00D141E0" w:rsidRDefault="00D141E0">
                        <w:pPr>
                          <w:rPr>
                            <w:rFonts w:eastAsia="Times New Roman"/>
                            <w:sz w:val="20"/>
                            <w:szCs w:val="20"/>
                          </w:rPr>
                        </w:pPr>
                      </w:p>
                    </w:tc>
                  </w:tr>
                  <w:tr w:rsidR="00D141E0">
                    <w:trPr>
                      <w:trHeight w:val="780"/>
                      <w:tblCellSpacing w:w="0" w:type="dxa"/>
                    </w:trPr>
                    <w:tc>
                      <w:tcPr>
                        <w:tcW w:w="0" w:type="auto"/>
                        <w:shd w:val="clear" w:color="auto" w:fill="004986"/>
                        <w:tcMar>
                          <w:top w:w="0" w:type="dxa"/>
                          <w:left w:w="300" w:type="dxa"/>
                          <w:bottom w:w="0" w:type="dxa"/>
                          <w:right w:w="300" w:type="dxa"/>
                        </w:tcMar>
                        <w:vAlign w:val="center"/>
                        <w:hideMark/>
                      </w:tcPr>
                      <w:p w:rsidR="00D141E0" w:rsidRDefault="00D141E0">
                        <w:pPr>
                          <w:pStyle w:val="NormalWeb"/>
                          <w:spacing w:before="0" w:beforeAutospacing="0" w:after="0" w:afterAutospacing="0" w:line="240" w:lineRule="atLeast"/>
                          <w:textAlignment w:val="center"/>
                          <w:rPr>
                            <w:rFonts w:ascii="Arial" w:hAnsi="Arial" w:cs="Arial"/>
                            <w:sz w:val="21"/>
                            <w:szCs w:val="21"/>
                          </w:rPr>
                        </w:pPr>
                        <w:r>
                          <w:rPr>
                            <w:rStyle w:val="Strong"/>
                            <w:rFonts w:ascii="Arial" w:hAnsi="Arial" w:cs="Arial"/>
                            <w:color w:val="FFFFFF"/>
                            <w:sz w:val="21"/>
                            <w:szCs w:val="21"/>
                          </w:rPr>
                          <w:t>COVID-19 public health emergency period extended through January 15, 2022</w:t>
                        </w:r>
                      </w:p>
                    </w:tc>
                  </w:tr>
                  <w:tr w:rsidR="00D141E0">
                    <w:trPr>
                      <w:tblCellSpacing w:w="0" w:type="dxa"/>
                    </w:trPr>
                    <w:tc>
                      <w:tcPr>
                        <w:tcW w:w="0" w:type="auto"/>
                        <w:shd w:val="clear" w:color="auto" w:fill="FFFFFF"/>
                        <w:tcMar>
                          <w:top w:w="375" w:type="dxa"/>
                          <w:left w:w="300" w:type="dxa"/>
                          <w:bottom w:w="525"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800"/>
                        </w:tblGrid>
                        <w:tr w:rsidR="00D141E0">
                          <w:trPr>
                            <w:tblCellSpacing w:w="0" w:type="dxa"/>
                          </w:trPr>
                          <w:tc>
                            <w:tcPr>
                              <w:tcW w:w="0" w:type="auto"/>
                              <w:vAlign w:val="center"/>
                              <w:hideMark/>
                            </w:tcPr>
                            <w:p w:rsidR="00D141E0" w:rsidRDefault="00D141E0">
                              <w:pPr>
                                <w:rPr>
                                  <w:rFonts w:eastAsia="Times New Roman"/>
                                </w:rPr>
                              </w:pPr>
                              <w:r>
                                <w:rPr>
                                  <w:rFonts w:ascii="Arial" w:eastAsia="Times New Roman" w:hAnsi="Arial" w:cs="Arial"/>
                                  <w:sz w:val="20"/>
                                  <w:szCs w:val="20"/>
                                </w:rPr>
                                <w:t>Since the COVID-19 pandemic began, Cigna has taken important steps to deliver timely accommodations to providers and customers, helping to ensure that customers have continued access to COVID-19 screening, testing, and treatment in safe settings.</w:t>
                              </w:r>
                            </w:p>
                            <w:p w:rsidR="00D141E0" w:rsidRDefault="00D141E0">
                              <w:pPr>
                                <w:pStyle w:val="NormalWeb"/>
                              </w:pPr>
                              <w:r>
                                <w:rPr>
                                  <w:rFonts w:ascii="Arial" w:hAnsi="Arial" w:cs="Arial"/>
                                  <w:b/>
                                  <w:bCs/>
                                  <w:color w:val="0070C0"/>
                                  <w:sz w:val="20"/>
                                  <w:szCs w:val="20"/>
                                </w:rPr>
                                <w:t>Extension of key accommodations</w:t>
                              </w:r>
                            </w:p>
                            <w:p w:rsidR="00D141E0" w:rsidRDefault="00D141E0" w:rsidP="00982F81">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To align with the recent </w:t>
                              </w:r>
                              <w:hyperlink r:id="rId7" w:history="1">
                                <w:r>
                                  <w:rPr>
                                    <w:rStyle w:val="Hyperlink"/>
                                    <w:rFonts w:ascii="Arial" w:eastAsia="Times New Roman" w:hAnsi="Arial" w:cs="Arial"/>
                                    <w:sz w:val="20"/>
                                    <w:szCs w:val="20"/>
                                  </w:rPr>
                                  <w:t>extension</w:t>
                                </w:r>
                              </w:hyperlink>
                              <w:r>
                                <w:rPr>
                                  <w:rFonts w:ascii="Arial" w:eastAsia="Times New Roman" w:hAnsi="Arial" w:cs="Arial"/>
                                  <w:sz w:val="20"/>
                                  <w:szCs w:val="20"/>
                                </w:rPr>
                                <w:t xml:space="preserve"> of the federal public health emergency (PHE) period, Cigna is again extending the cost-share waiver for COVID-19 testing and testing-related services through January 15, 2022. </w:t>
                              </w:r>
                            </w:p>
                            <w:p w:rsidR="00D141E0" w:rsidRDefault="00D141E0" w:rsidP="00982F81">
                              <w:pPr>
                                <w:numPr>
                                  <w:ilvl w:val="0"/>
                                  <w:numId w:val="1"/>
                                </w:numPr>
                                <w:spacing w:before="100" w:beforeAutospacing="1" w:after="100" w:afterAutospacing="1"/>
                                <w:rPr>
                                  <w:rFonts w:eastAsia="Times New Roman"/>
                                </w:rPr>
                              </w:pPr>
                              <w:r>
                                <w:rPr>
                                  <w:rFonts w:ascii="Arial" w:eastAsia="Times New Roman" w:hAnsi="Arial" w:cs="Arial"/>
                                  <w:sz w:val="20"/>
                                  <w:szCs w:val="20"/>
                                </w:rPr>
                                <w:t>Cigna's interim credentialing accommodations are extended through December 31, 2021.</w:t>
                              </w:r>
                            </w:p>
                            <w:p w:rsidR="00D141E0" w:rsidRDefault="00D141E0" w:rsidP="00982F81">
                              <w:pPr>
                                <w:numPr>
                                  <w:ilvl w:val="0"/>
                                  <w:numId w:val="1"/>
                                </w:numPr>
                                <w:spacing w:before="100" w:beforeAutospacing="1" w:after="100" w:afterAutospacing="1"/>
                                <w:rPr>
                                  <w:rFonts w:eastAsia="Times New Roman"/>
                                </w:rPr>
                              </w:pPr>
                              <w:r>
                                <w:rPr>
                                  <w:rFonts w:ascii="Arial" w:eastAsia="Times New Roman" w:hAnsi="Arial" w:cs="Arial"/>
                                  <w:sz w:val="20"/>
                                  <w:szCs w:val="20"/>
                                </w:rPr>
                                <w:t>Cigna's COVID-related accommodations for virtual care continue to remain in effect until further notice.</w:t>
                              </w:r>
                            </w:p>
                            <w:p w:rsidR="00D141E0" w:rsidRDefault="00D141E0" w:rsidP="00982F81">
                              <w:pPr>
                                <w:numPr>
                                  <w:ilvl w:val="0"/>
                                  <w:numId w:val="1"/>
                                </w:numPr>
                                <w:spacing w:before="100" w:beforeAutospacing="1" w:after="100" w:afterAutospacing="1"/>
                                <w:rPr>
                                  <w:rFonts w:eastAsia="Times New Roman"/>
                                </w:rPr>
                              </w:pPr>
                              <w:r>
                                <w:rPr>
                                  <w:rFonts w:ascii="Arial" w:eastAsia="Times New Roman" w:hAnsi="Arial" w:cs="Arial"/>
                                  <w:sz w:val="20"/>
                                  <w:szCs w:val="20"/>
                                </w:rPr>
                                <w:t>Cigna's facility-to-facility transfer authorization waiver ended on October 18, 2021. However, Cigna will not enforce an administrative denial for failure to secure authorization on appeal if an extenuating circumstance due to COVID-19 applied (e.g., bed capacity or staffing issues). </w:t>
                              </w:r>
                            </w:p>
                            <w:p w:rsidR="00D141E0" w:rsidRDefault="00D141E0">
                              <w:pPr>
                                <w:pStyle w:val="NormalWeb"/>
                              </w:pPr>
                              <w:r>
                                <w:rPr>
                                  <w:rFonts w:ascii="Arial" w:hAnsi="Arial" w:cs="Arial"/>
                                  <w:b/>
                                  <w:bCs/>
                                  <w:color w:val="0070C0"/>
                                  <w:sz w:val="20"/>
                                  <w:szCs w:val="20"/>
                                </w:rPr>
                                <w:t>How Cigna covers vaccine administration</w:t>
                              </w:r>
                              <w:r>
                                <w:br/>
                              </w:r>
                              <w:r>
                                <w:rPr>
                                  <w:rFonts w:ascii="Arial" w:hAnsi="Arial" w:cs="Arial"/>
                                  <w:sz w:val="20"/>
                                  <w:szCs w:val="20"/>
                                </w:rPr>
                                <w:t xml:space="preserve">After the emergency use authorization (EUA) or approval of each COVID-19 vaccine by the FDA, CMS will identify the specific vaccine code(s) along with the specific administration code(s) for each vaccine. </w:t>
                              </w:r>
                              <w:r>
                                <w:rPr>
                                  <w:rFonts w:ascii="Arial" w:hAnsi="Arial" w:cs="Arial"/>
                                  <w:sz w:val="20"/>
                                  <w:szCs w:val="20"/>
                                </w:rPr>
                                <w:br/>
                              </w:r>
                              <w:r>
                                <w:rPr>
                                  <w:rFonts w:ascii="Arial" w:hAnsi="Arial" w:cs="Arial"/>
                                  <w:sz w:val="20"/>
                                  <w:szCs w:val="20"/>
                                </w:rPr>
                                <w:br/>
                                <w:t xml:space="preserve">As a reminder, we reimburse the administration of all FDA and EUA-approved COVID-19 vaccines at the </w:t>
                              </w:r>
                              <w:hyperlink r:id="rId8" w:tgtFrame="_blank" w:history="1">
                                <w:r>
                                  <w:rPr>
                                    <w:rStyle w:val="Hyperlink"/>
                                    <w:rFonts w:ascii="Arial" w:hAnsi="Arial" w:cs="Arial"/>
                                    <w:sz w:val="20"/>
                                    <w:szCs w:val="20"/>
                                  </w:rPr>
                                  <w:t>established national CMS rates</w:t>
                                </w:r>
                              </w:hyperlink>
                              <w:r>
                                <w:rPr>
                                  <w:rFonts w:ascii="Arial" w:hAnsi="Arial" w:cs="Arial"/>
                                  <w:sz w:val="20"/>
                                  <w:szCs w:val="20"/>
                                </w:rPr>
                                <w:t xml:space="preserve"> when claims are billed under the medical benefit. This guidance will also apply to any additional vaccines that receive EUA approval, including new booster doses and pediatric vaccines.</w:t>
                              </w:r>
                              <w:r>
                                <w:rPr>
                                  <w:rFonts w:ascii="Arial" w:hAnsi="Arial" w:cs="Arial"/>
                                  <w:sz w:val="20"/>
                                  <w:szCs w:val="20"/>
                                </w:rPr>
                                <w:br/>
                              </w:r>
                              <w:r>
                                <w:rPr>
                                  <w:b/>
                                  <w:bCs/>
                                  <w:color w:val="0070C0"/>
                                  <w:sz w:val="20"/>
                                  <w:szCs w:val="20"/>
                                </w:rPr>
                                <w:br/>
                              </w:r>
                              <w:r>
                                <w:rPr>
                                  <w:rFonts w:ascii="Arial" w:hAnsi="Arial" w:cs="Arial"/>
                                  <w:b/>
                                  <w:bCs/>
                                  <w:color w:val="0070C0"/>
                                  <w:sz w:val="20"/>
                                  <w:szCs w:val="20"/>
                                </w:rPr>
                                <w:t>Get the latest updates</w:t>
                              </w:r>
                              <w:r>
                                <w:rPr>
                                  <w:b/>
                                  <w:bCs/>
                                  <w:color w:val="0070C0"/>
                                  <w:sz w:val="20"/>
                                  <w:szCs w:val="20"/>
                                </w:rPr>
                                <w:br/>
                              </w:r>
                              <w:r>
                                <w:rPr>
                                  <w:rFonts w:ascii="Arial" w:hAnsi="Arial" w:cs="Arial"/>
                                  <w:sz w:val="20"/>
                                  <w:szCs w:val="20"/>
                                </w:rPr>
                                <w:t xml:space="preserve">We updated our dedicated </w:t>
                              </w:r>
                              <w:hyperlink r:id="rId9" w:tgtFrame="_blank" w:history="1">
                                <w:r>
                                  <w:rPr>
                                    <w:rStyle w:val="Hyperlink"/>
                                    <w:rFonts w:ascii="Arial" w:hAnsi="Arial" w:cs="Arial"/>
                                    <w:sz w:val="20"/>
                                    <w:szCs w:val="20"/>
                                  </w:rPr>
                                  <w:t>COVID-19 provider web page</w:t>
                                </w:r>
                              </w:hyperlink>
                              <w:r>
                                <w:rPr>
                                  <w:rFonts w:ascii="Arial" w:hAnsi="Arial" w:cs="Arial"/>
                                  <w:sz w:val="20"/>
                                  <w:szCs w:val="20"/>
                                </w:rPr>
                                <w:t xml:space="preserve"> on October 22, 2021 to highlight the latest updates. We encourage you to visit the site to get these updates and more.</w:t>
                              </w:r>
                              <w:r>
                                <w:br/>
                              </w:r>
                              <w:r>
                                <w:rPr>
                                  <w:rFonts w:ascii="Arial" w:hAnsi="Arial" w:cs="Arial"/>
                                  <w:b/>
                                  <w:bCs/>
                                  <w:color w:val="0070C0"/>
                                  <w:sz w:val="20"/>
                                  <w:szCs w:val="20"/>
                                </w:rPr>
                                <w:br/>
                                <w:t xml:space="preserve">Thank you again for the quality care you provide and for all that you're doing to </w:t>
                              </w:r>
                              <w:r>
                                <w:rPr>
                                  <w:rFonts w:ascii="Arial" w:hAnsi="Arial" w:cs="Arial"/>
                                  <w:b/>
                                  <w:bCs/>
                                  <w:color w:val="0070C0"/>
                                  <w:sz w:val="20"/>
                                  <w:szCs w:val="20"/>
                                </w:rPr>
                                <w:lastRenderedPageBreak/>
                                <w:t>help our customers. </w:t>
                              </w:r>
                              <w:r>
                                <w:rPr>
                                  <w:rFonts w:ascii="Arial" w:hAnsi="Arial" w:cs="Arial"/>
                                  <w:b/>
                                  <w:bCs/>
                                  <w:color w:val="0070C0"/>
                                  <w:sz w:val="20"/>
                                  <w:szCs w:val="20"/>
                                </w:rPr>
                                <w:br/>
                              </w:r>
                            </w:p>
                            <w:tbl>
                              <w:tblPr>
                                <w:tblW w:w="5000" w:type="pct"/>
                                <w:tblCellSpacing w:w="0" w:type="dxa"/>
                                <w:tblCellMar>
                                  <w:left w:w="0" w:type="dxa"/>
                                  <w:right w:w="0" w:type="dxa"/>
                                </w:tblCellMar>
                                <w:tblLook w:val="04A0" w:firstRow="1" w:lastRow="0" w:firstColumn="1" w:lastColumn="0" w:noHBand="0" w:noVBand="1"/>
                              </w:tblPr>
                              <w:tblGrid>
                                <w:gridCol w:w="7800"/>
                              </w:tblGrid>
                              <w:tr w:rsidR="00D141E0">
                                <w:trPr>
                                  <w:tblCellSpacing w:w="0" w:type="dxa"/>
                                </w:trPr>
                                <w:tc>
                                  <w:tcPr>
                                    <w:tcW w:w="0" w:type="auto"/>
                                    <w:vAlign w:val="center"/>
                                    <w:hideMark/>
                                  </w:tcPr>
                                  <w:p w:rsidR="00D141E0" w:rsidRDefault="00D141E0">
                                    <w:pPr>
                                      <w:spacing w:line="0" w:lineRule="atLeast"/>
                                      <w:rPr>
                                        <w:rFonts w:eastAsia="Times New Roman"/>
                                        <w:sz w:val="2"/>
                                        <w:szCs w:val="2"/>
                                      </w:rPr>
                                    </w:pPr>
                                    <w:r>
                                      <w:rPr>
                                        <w:rFonts w:ascii="Arial" w:eastAsia="Times New Roman" w:hAnsi="Arial" w:cs="Arial"/>
                                        <w:noProof/>
                                        <w:color w:val="0000FF"/>
                                        <w:sz w:val="20"/>
                                        <w:szCs w:val="20"/>
                                        <w:shd w:val="clear" w:color="auto" w:fill="FFFFFF"/>
                                      </w:rPr>
                                      <w:drawing>
                                        <wp:inline distT="0" distB="0" distL="0" distR="0">
                                          <wp:extent cx="1809750" cy="381000"/>
                                          <wp:effectExtent l="0" t="0" r="0" b="0"/>
                                          <wp:docPr id="5" name="Picture 5" descr="Visit CignaforHPC.com">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CignaforHPC.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r>
                            </w:tbl>
                            <w:p w:rsidR="00D141E0" w:rsidRDefault="00D141E0">
                              <w:pPr>
                                <w:rPr>
                                  <w:rFonts w:eastAsia="Times New Roman"/>
                                  <w:sz w:val="20"/>
                                  <w:szCs w:val="20"/>
                                </w:rPr>
                              </w:pPr>
                            </w:p>
                          </w:tc>
                        </w:tr>
                      </w:tbl>
                      <w:p w:rsidR="00D141E0" w:rsidRDefault="00D141E0">
                        <w:pPr>
                          <w:rPr>
                            <w:rFonts w:eastAsia="Times New Roman"/>
                            <w:sz w:val="20"/>
                            <w:szCs w:val="20"/>
                          </w:rPr>
                        </w:pPr>
                      </w:p>
                    </w:tc>
                  </w:tr>
                  <w:tr w:rsidR="00D141E0">
                    <w:trPr>
                      <w:tblCellSpacing w:w="0" w:type="dxa"/>
                    </w:trPr>
                    <w:tc>
                      <w:tcPr>
                        <w:tcW w:w="0" w:type="auto"/>
                        <w:tcMar>
                          <w:top w:w="0" w:type="dxa"/>
                          <w:left w:w="120" w:type="dxa"/>
                          <w:bottom w:w="0" w:type="dxa"/>
                          <w:right w:w="120" w:type="dxa"/>
                        </w:tcMar>
                        <w:vAlign w:val="center"/>
                        <w:hideMark/>
                      </w:tcPr>
                      <w:p w:rsidR="00D141E0" w:rsidRDefault="00D141E0">
                        <w:pPr>
                          <w:spacing w:line="0" w:lineRule="atLeast"/>
                          <w:rPr>
                            <w:rFonts w:eastAsia="Times New Roman"/>
                            <w:sz w:val="2"/>
                            <w:szCs w:val="2"/>
                          </w:rPr>
                        </w:pPr>
                        <w:r>
                          <w:rPr>
                            <w:rFonts w:eastAsia="Times New Roman"/>
                            <w:noProof/>
                            <w:sz w:val="2"/>
                            <w:szCs w:val="2"/>
                          </w:rPr>
                          <w:lastRenderedPageBreak/>
                          <w:drawing>
                            <wp:inline distT="0" distB="0" distL="0" distR="0">
                              <wp:extent cx="2038350" cy="628650"/>
                              <wp:effectExtent l="0" t="0" r="0" b="0"/>
                              <wp:docPr id="4" name="Picture 4" descr="Together, all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ether, all the w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628650"/>
                                      </a:xfrm>
                                      <a:prstGeom prst="rect">
                                        <a:avLst/>
                                      </a:prstGeom>
                                      <a:noFill/>
                                      <a:ln>
                                        <a:noFill/>
                                      </a:ln>
                                    </pic:spPr>
                                  </pic:pic>
                                </a:graphicData>
                              </a:graphic>
                            </wp:inline>
                          </w:drawing>
                        </w:r>
                      </w:p>
                    </w:tc>
                  </w:tr>
                  <w:tr w:rsidR="00D141E0">
                    <w:trPr>
                      <w:tblCellSpacing w:w="0" w:type="dxa"/>
                    </w:trPr>
                    <w:tc>
                      <w:tcPr>
                        <w:tcW w:w="0" w:type="auto"/>
                        <w:vAlign w:val="center"/>
                        <w:hideMark/>
                      </w:tcPr>
                      <w:tbl>
                        <w:tblPr>
                          <w:tblW w:w="5000" w:type="pct"/>
                          <w:tblCellSpacing w:w="0" w:type="dxa"/>
                          <w:shd w:val="clear" w:color="auto" w:fill="F0F0F0"/>
                          <w:tblCellMar>
                            <w:left w:w="0" w:type="dxa"/>
                            <w:right w:w="0" w:type="dxa"/>
                          </w:tblCellMar>
                          <w:tblLook w:val="04A0" w:firstRow="1" w:lastRow="0" w:firstColumn="1" w:lastColumn="0" w:noHBand="0" w:noVBand="1"/>
                        </w:tblPr>
                        <w:tblGrid>
                          <w:gridCol w:w="8700"/>
                        </w:tblGrid>
                        <w:tr w:rsidR="00D141E0">
                          <w:trPr>
                            <w:tblCellSpacing w:w="0" w:type="dxa"/>
                          </w:trPr>
                          <w:tc>
                            <w:tcPr>
                              <w:tcW w:w="0" w:type="auto"/>
                              <w:shd w:val="clear" w:color="auto" w:fill="F0F0F0"/>
                              <w:tcMar>
                                <w:top w:w="0" w:type="dxa"/>
                                <w:left w:w="120" w:type="dxa"/>
                                <w:bottom w:w="225" w:type="dxa"/>
                                <w:right w:w="120" w:type="dxa"/>
                              </w:tcMar>
                              <w:vAlign w:val="center"/>
                              <w:hideMark/>
                            </w:tcPr>
                            <w:p w:rsidR="00D141E0" w:rsidRDefault="00D141E0">
                              <w:pPr>
                                <w:pStyle w:val="NormalWeb"/>
                                <w:spacing w:line="225" w:lineRule="atLeast"/>
                                <w:rPr>
                                  <w:rFonts w:ascii="Arial" w:hAnsi="Arial" w:cs="Arial"/>
                                  <w:color w:val="4A4C4B"/>
                                  <w:sz w:val="15"/>
                                  <w:szCs w:val="15"/>
                                </w:rPr>
                              </w:pPr>
                              <w:r>
                                <w:rPr>
                                  <w:rFonts w:ascii="Arial" w:hAnsi="Arial" w:cs="Arial"/>
                                  <w:color w:val="4A4C4B"/>
                                  <w:sz w:val="15"/>
                                  <w:szCs w:val="15"/>
                                </w:rPr>
                                <w:t xml:space="preserve">All Cigna products and services are provided exclusively by or through operating subsidiaries of Cigna Corporation, including Cigna Health and Life Insurance Company, </w:t>
                              </w:r>
                              <w:proofErr w:type="spellStart"/>
                              <w:r>
                                <w:rPr>
                                  <w:rFonts w:ascii="Arial" w:hAnsi="Arial" w:cs="Arial"/>
                                  <w:color w:val="4A4C4B"/>
                                  <w:sz w:val="15"/>
                                  <w:szCs w:val="15"/>
                                </w:rPr>
                                <w:t>Evernorth</w:t>
                              </w:r>
                              <w:proofErr w:type="spellEnd"/>
                              <w:r>
                                <w:rPr>
                                  <w:rFonts w:ascii="Arial" w:hAnsi="Arial" w:cs="Arial"/>
                                  <w:color w:val="4A4C4B"/>
                                  <w:sz w:val="15"/>
                                  <w:szCs w:val="15"/>
                                </w:rPr>
                                <w:t xml:space="preserve"> Behavioral Health, Inc., and HMO or service company subsidiaries of Cigna Health Corporation and Cigna Dental Health, Inc. The Cigna name, logo, and other Cigna marks are owned by Cigna Intellectual Property, Inc.</w:t>
                              </w:r>
                            </w:p>
                            <w:p w:rsidR="00D141E0" w:rsidRDefault="00D141E0">
                              <w:pPr>
                                <w:pStyle w:val="NormalWeb"/>
                                <w:spacing w:line="225" w:lineRule="atLeast"/>
                                <w:rPr>
                                  <w:rFonts w:ascii="Arial" w:hAnsi="Arial" w:cs="Arial"/>
                                  <w:color w:val="4A4C4B"/>
                                  <w:sz w:val="17"/>
                                  <w:szCs w:val="17"/>
                                </w:rPr>
                              </w:pPr>
                              <w:hyperlink r:id="rId12" w:tgtFrame="_blank" w:history="1">
                                <w:r>
                                  <w:rPr>
                                    <w:rStyle w:val="Hyperlink"/>
                                    <w:rFonts w:ascii="Arial" w:hAnsi="Arial" w:cs="Arial"/>
                                    <w:sz w:val="17"/>
                                    <w:szCs w:val="17"/>
                                  </w:rPr>
                                  <w:t>Legal Disclaimer</w:t>
                                </w:r>
                              </w:hyperlink>
                              <w:r>
                                <w:rPr>
                                  <w:rFonts w:ascii="Arial" w:hAnsi="Arial" w:cs="Arial"/>
                                  <w:color w:val="4A4C4B"/>
                                  <w:sz w:val="17"/>
                                  <w:szCs w:val="17"/>
                                </w:rPr>
                                <w:t xml:space="preserve"> | </w:t>
                              </w:r>
                              <w:hyperlink r:id="rId13" w:tgtFrame="_blank" w:history="1">
                                <w:r>
                                  <w:rPr>
                                    <w:rStyle w:val="Hyperlink"/>
                                    <w:rFonts w:ascii="Arial" w:hAnsi="Arial" w:cs="Arial"/>
                                    <w:sz w:val="17"/>
                                    <w:szCs w:val="17"/>
                                  </w:rPr>
                                  <w:t>Privacy</w:t>
                                </w:r>
                              </w:hyperlink>
                              <w:r>
                                <w:rPr>
                                  <w:rFonts w:ascii="Arial" w:hAnsi="Arial" w:cs="Arial"/>
                                  <w:color w:val="4A4C4B"/>
                                  <w:sz w:val="17"/>
                                  <w:szCs w:val="17"/>
                                </w:rPr>
                                <w:t xml:space="preserve"> | </w:t>
                              </w:r>
                              <w:hyperlink r:id="rId14" w:tgtFrame="_blank" w:history="1">
                                <w:r>
                                  <w:rPr>
                                    <w:rStyle w:val="Hyperlink"/>
                                    <w:rFonts w:ascii="Arial" w:hAnsi="Arial" w:cs="Arial"/>
                                    <w:sz w:val="17"/>
                                    <w:szCs w:val="17"/>
                                  </w:rPr>
                                  <w:t>Product Disclosures</w:t>
                                </w:r>
                              </w:hyperlink>
                              <w:r>
                                <w:rPr>
                                  <w:rFonts w:ascii="Arial" w:hAnsi="Arial" w:cs="Arial"/>
                                  <w:color w:val="4A4C4B"/>
                                  <w:sz w:val="17"/>
                                  <w:szCs w:val="17"/>
                                </w:rPr>
                                <w:t xml:space="preserve"> | </w:t>
                              </w:r>
                              <w:hyperlink r:id="rId15" w:tgtFrame="_blank" w:history="1">
                                <w:r>
                                  <w:rPr>
                                    <w:rStyle w:val="Hyperlink"/>
                                    <w:rFonts w:ascii="Arial" w:hAnsi="Arial" w:cs="Arial"/>
                                    <w:sz w:val="17"/>
                                    <w:szCs w:val="17"/>
                                  </w:rPr>
                                  <w:t>Cigna Company Names</w:t>
                                </w:r>
                              </w:hyperlink>
                              <w:r>
                                <w:rPr>
                                  <w:rFonts w:ascii="Arial" w:hAnsi="Arial" w:cs="Arial"/>
                                  <w:color w:val="4A4C4B"/>
                                  <w:sz w:val="17"/>
                                  <w:szCs w:val="17"/>
                                </w:rPr>
                                <w:t xml:space="preserve"> | </w:t>
                              </w:r>
                            </w:p>
                            <w:p w:rsidR="00D141E0" w:rsidRDefault="00D141E0">
                              <w:pPr>
                                <w:pStyle w:val="NormalWeb"/>
                                <w:spacing w:line="225" w:lineRule="atLeast"/>
                                <w:rPr>
                                  <w:rFonts w:ascii="Arial" w:hAnsi="Arial" w:cs="Arial"/>
                                  <w:color w:val="4A4C4B"/>
                                  <w:sz w:val="17"/>
                                  <w:szCs w:val="17"/>
                                </w:rPr>
                              </w:pPr>
                              <w:hyperlink r:id="rId16" w:history="1">
                                <w:r>
                                  <w:rPr>
                                    <w:rStyle w:val="Hyperlink"/>
                                    <w:rFonts w:ascii="Arial" w:hAnsi="Arial" w:cs="Arial"/>
                                    <w:sz w:val="17"/>
                                    <w:szCs w:val="17"/>
                                  </w:rPr>
                                  <w:t>Unsubscribe</w:t>
                                </w:r>
                              </w:hyperlink>
                            </w:p>
                            <w:p w:rsidR="00D141E0" w:rsidRDefault="00D141E0">
                              <w:pPr>
                                <w:pStyle w:val="NormalWeb"/>
                                <w:spacing w:line="225" w:lineRule="atLeast"/>
                                <w:rPr>
                                  <w:rFonts w:ascii="Arial" w:hAnsi="Arial" w:cs="Arial"/>
                                  <w:color w:val="4A4C4B"/>
                                  <w:sz w:val="17"/>
                                  <w:szCs w:val="17"/>
                                </w:rPr>
                              </w:pPr>
                              <w:r>
                                <w:rPr>
                                  <w:rFonts w:ascii="Arial" w:hAnsi="Arial" w:cs="Arial"/>
                                  <w:color w:val="4A4C4B"/>
                                  <w:sz w:val="17"/>
                                  <w:szCs w:val="17"/>
                                </w:rPr>
                                <w:t>PCOMM-2021-1532 01/2021 © 2021 Cigna. Some content provided under license.</w:t>
                              </w:r>
                            </w:p>
                          </w:tc>
                        </w:tr>
                      </w:tbl>
                      <w:p w:rsidR="00D141E0" w:rsidRDefault="00D141E0">
                        <w:pPr>
                          <w:rPr>
                            <w:rFonts w:eastAsia="Times New Roman"/>
                            <w:sz w:val="20"/>
                            <w:szCs w:val="20"/>
                          </w:rPr>
                        </w:pPr>
                      </w:p>
                    </w:tc>
                  </w:tr>
                </w:tbl>
                <w:p w:rsidR="00D141E0" w:rsidRDefault="00D141E0">
                  <w:pPr>
                    <w:rPr>
                      <w:rFonts w:eastAsia="Times New Roman"/>
                      <w:sz w:val="20"/>
                      <w:szCs w:val="20"/>
                    </w:rPr>
                  </w:pPr>
                </w:p>
              </w:tc>
            </w:tr>
          </w:tbl>
          <w:p w:rsidR="00D141E0" w:rsidRDefault="00D141E0">
            <w:pPr>
              <w:jc w:val="center"/>
              <w:rPr>
                <w:rFonts w:eastAsia="Times New Roman"/>
                <w:sz w:val="20"/>
                <w:szCs w:val="20"/>
              </w:rPr>
            </w:pPr>
          </w:p>
        </w:tc>
      </w:tr>
    </w:tbl>
    <w:p w:rsidR="00D141E0" w:rsidRDefault="00D141E0" w:rsidP="00D141E0">
      <w:pPr>
        <w:rPr>
          <w:rFonts w:eastAsia="Times New Roman"/>
          <w:lang w:val="en"/>
        </w:rPr>
      </w:pPr>
      <w:r>
        <w:rPr>
          <w:rFonts w:eastAsia="Times New Roman"/>
          <w:noProof/>
        </w:rPr>
        <w:lastRenderedPageBreak/>
        <w:drawing>
          <wp:inline distT="0" distB="0" distL="0" distR="0">
            <wp:extent cx="9525" cy="9525"/>
            <wp:effectExtent l="0" t="0" r="0" b="0"/>
            <wp:docPr id="3" name="Picture 3" descr="https://wlink.graphnet.com/maximail/1x1.gif?trcop=97131G20779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link.graphnet.com/maximail/1x1.gif?trcop=97131G2077941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41E0" w:rsidRDefault="00D141E0" w:rsidP="00D141E0">
      <w:pPr>
        <w:rPr>
          <w:rFonts w:eastAsia="Times New Roman"/>
          <w:lang w:val="en"/>
        </w:rPr>
      </w:pPr>
      <w:r>
        <w:rPr>
          <w:rFonts w:eastAsia="Times New Roman"/>
          <w:noProof/>
        </w:rPr>
        <w:drawing>
          <wp:inline distT="0" distB="0" distL="0" distR="0">
            <wp:extent cx="9525" cy="9525"/>
            <wp:effectExtent l="0" t="0" r="0" b="0"/>
            <wp:docPr id="2" name="Picture 2" descr="https://wlink.graphnet.com/maximail/1x1.gif?trcop=97131G20779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link.graphnet.com/maximail/1x1.gif?trcop=97131G2077941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41E0" w:rsidRDefault="00D141E0" w:rsidP="00D141E0">
      <w:pPr>
        <w:rPr>
          <w:rFonts w:eastAsia="Times New Roman"/>
          <w:lang w:val="en"/>
        </w:rPr>
      </w:pPr>
      <w:r>
        <w:rPr>
          <w:rFonts w:eastAsia="Times New Roman"/>
          <w:noProof/>
        </w:rPr>
        <w:drawing>
          <wp:inline distT="0" distB="0" distL="0" distR="0">
            <wp:extent cx="9525" cy="9525"/>
            <wp:effectExtent l="0" t="0" r="0" b="0"/>
            <wp:docPr id="1" name="Picture 1" descr="https://wlink.graphnet.com/maximail/1x1.gif?trcop=97138G20712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link.graphnet.com/maximail/1x1.gif?trcop=97138G2071270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F6620" w:rsidRDefault="00BF6620">
      <w:bookmarkStart w:id="0" w:name="_GoBack"/>
      <w:bookmarkEnd w:id="0"/>
    </w:p>
    <w:sectPr w:rsidR="00BF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25A56"/>
    <w:multiLevelType w:val="multilevel"/>
    <w:tmpl w:val="B0646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E0"/>
    <w:rsid w:val="00BF6620"/>
    <w:rsid w:val="00D1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836BC-6648-4689-9994-805EA2B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1E0"/>
    <w:rPr>
      <w:color w:val="0000FF"/>
      <w:u w:val="single"/>
    </w:rPr>
  </w:style>
  <w:style w:type="paragraph" w:styleId="NormalWeb">
    <w:name w:val="Normal (Web)"/>
    <w:basedOn w:val="Normal"/>
    <w:uiPriority w:val="99"/>
    <w:semiHidden/>
    <w:unhideWhenUsed/>
    <w:rsid w:val="00D141E0"/>
    <w:pPr>
      <w:spacing w:before="100" w:beforeAutospacing="1" w:after="100" w:afterAutospacing="1"/>
    </w:pPr>
  </w:style>
  <w:style w:type="character" w:styleId="Strong">
    <w:name w:val="Strong"/>
    <w:basedOn w:val="DefaultParagraphFont"/>
    <w:uiPriority w:val="22"/>
    <w:qFormat/>
    <w:rsid w:val="00D14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link.graphnet.com/maximail/link.htm?trlnkid=156463A97138A207127033__;!!KZd1Y3y2zDCptWw!_rmcOdMV0Tn8RLShVJ485T8yAY01RHAh37V3uwCSbmYb_aNXMUOYAe24wmFf45k$" TargetMode="External"/><Relationship Id="rId13" Type="http://schemas.openxmlformats.org/officeDocument/2006/relationships/hyperlink" Target="https://urldefense.com/v3/__https:/wlink.graphnet.com/maximail/link.htm?trlnkid=156459A97138A207127033__;!!KZd1Y3y2zDCptWw!_rmcOdMV0Tn8RLShVJ485T8yAY01RHAh37V3uwCSbmYb_aNXMUOYAe241V96U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wlink.graphnet.com/maximail/link.htm?trlnkid=156464A97138A207127033__;!!KZd1Y3y2zDCptWw!_rmcOdMV0Tn8RLShVJ485T8yAY01RHAh37V3uwCSbmYb_aNXMUOYAe24TyH05R8$" TargetMode="External"/><Relationship Id="rId12" Type="http://schemas.openxmlformats.org/officeDocument/2006/relationships/hyperlink" Target="https://urldefense.com/v3/__https:/wlink.graphnet.com/maximail/link.htm?trlnkid=156457A97138A207127033__;!!KZd1Y3y2zDCptWw!_rmcOdMV0Tn8RLShVJ485T8yAY01RHAh37V3uwCSbmYb_aNXMUOYAe24US6bVIM$"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urldefense.com/v3/__https:/wlink.graphnet.com/maximail/link.htm?trlnkid=156456A97138A207127033__;!!KZd1Y3y2zDCptWw!_rmcOdMV0Tn8RLShVJ485T8yAY01RHAh37V3uwCSbmYb_aNXMUOYAe2489vixw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urldefense.com/v3/__https:/wlink.graphnet.com/maximail/link.htm?trlnkid=156461A97138A207127033__;!!KZd1Y3y2zDCptWw!_rmcOdMV0Tn8RLShVJ485T8yAY01RHAh37V3uwCSbmYb_aNXMUOYAe24ulIa2v4$" TargetMode="External"/><Relationship Id="rId15" Type="http://schemas.openxmlformats.org/officeDocument/2006/relationships/hyperlink" Target="https://urldefense.com/v3/__https:/wlink.graphnet.com/maximail/link.htm?trlnkid=156458A97138A207127033__;!!KZd1Y3y2zDCptWw!_rmcOdMV0Tn8RLShVJ485T8yAY01RHAh37V3uwCSbmYb_aNXMUOYAe240TYe0yQ$"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s:/wlink.graphnet.com/maximail/link.htm?trlnkid=156462A97138A207127033__;!!KZd1Y3y2zDCptWw!_rmcOdMV0Tn8RLShVJ485T8yAY01RHAh37V3uwCSbmYb_aNXMUOYAe24ssAHNHQ$" TargetMode="External"/><Relationship Id="rId14" Type="http://schemas.openxmlformats.org/officeDocument/2006/relationships/hyperlink" Target="https://urldefense.com/v3/__https:/wlink.graphnet.com/maximail/link.htm?trlnkid=156460A97138A207127033__;!!KZd1Y3y2zDCptWw!_rmcOdMV0Tn8RLShVJ485T8yAY01RHAh37V3uwCSbmYb_aNXMUOYAe24werFy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Company>Med Center Health</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2022-01-04T19:14:00Z</dcterms:created>
  <dcterms:modified xsi:type="dcterms:W3CDTF">2022-01-04T19:15:00Z</dcterms:modified>
</cp:coreProperties>
</file>