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BE0898" w:rsidRPr="00BE0898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BE0898" w:rsidRPr="00BE089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E0898" w:rsidRPr="00BE0898" w:rsidRDefault="00BE0898" w:rsidP="00BE08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E089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EC2910E" wp14:editId="0F130871">
                                          <wp:extent cx="1581150" cy="495300"/>
                                          <wp:effectExtent l="0" t="0" r="0" b="0"/>
                                          <wp:docPr id="3" name="Picture 3" descr="https://image.provideremail.uhc.com/lib/fe3f11727564047d741c70/m/2/UHC_Lockup_blu_RGB_2576p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image.provideremail.uhc.com/lib/fe3f11727564047d741c70/m/2/UHC_Lockup_blu_RGB_2576p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8115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E0898" w:rsidRPr="00BE0898" w:rsidRDefault="00BE0898" w:rsidP="00BE08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E0898" w:rsidRPr="00BE0898" w:rsidRDefault="00BE0898" w:rsidP="00BE08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BE0898" w:rsidRPr="00BE0898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BE0898" w:rsidRPr="00BE0898" w:rsidRDefault="00BE0898" w:rsidP="00BE0898">
                              <w:pPr>
                                <w:spacing w:after="300" w:line="495" w:lineRule="atLeast"/>
                                <w:outlineLvl w:val="0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2677"/>
                                  <w:kern w:val="36"/>
                                  <w:sz w:val="42"/>
                                  <w:szCs w:val="42"/>
                                </w:rPr>
                              </w:pPr>
                              <w:r w:rsidRPr="00BE0898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2677"/>
                                  <w:kern w:val="36"/>
                                  <w:sz w:val="42"/>
                                  <w:szCs w:val="42"/>
                                </w:rPr>
                                <w:t>Get to know the basics of electronic submissions</w:t>
                              </w:r>
                            </w:p>
                            <w:p w:rsidR="00BE0898" w:rsidRPr="00BE0898" w:rsidRDefault="00BE0898" w:rsidP="00BE0898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Now that </w:t>
                              </w:r>
                              <w:hyperlink r:id="rId6" w:tooltip="claim reconsiderations and appeals must be submitted electronically" w:history="1">
                                <w:r w:rsidRPr="00BE089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6ECF"/>
                                    <w:sz w:val="21"/>
                                    <w:szCs w:val="21"/>
                                  </w:rPr>
                                  <w:t>claim reconsiderations and appeals must be submitted electronically</w:t>
                                </w:r>
                              </w:hyperlink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,* we want to help make sure you have the how-to information you need to manage them with ease.</w:t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br/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br/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</w:rPr>
                                <w:t>How to submit electronically</w:t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br/>
                                <w:t>You have 2 electronic submission options — through the 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instrText xml:space="preserve"> HYPERLINK "https://click.provideremail.uhc.com/?qs=fd2ac2be3301ea08b478025ba81d5b684f4bebc4cdc1f42376f43881e969a0ff58a0beba002e5287cf7f89ccac8f45cdac40fc521de3c46df405a353db921d4a" \o "UnitedHealthcare Provider Portal" </w:instrText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6ECF"/>
                                  <w:sz w:val="21"/>
                                  <w:szCs w:val="21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6ECF"/>
                                  <w:sz w:val="21"/>
                                  <w:szCs w:val="21"/>
                                </w:rPr>
                                <w:t xml:space="preserve"> Provider Portal</w:t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 or </w:t>
                              </w:r>
                              <w:hyperlink r:id="rId7" w:tooltip="Application Programming Interface (API)" w:history="1">
                                <w:r w:rsidRPr="00BE089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6ECF"/>
                                    <w:sz w:val="21"/>
                                    <w:szCs w:val="21"/>
                                  </w:rPr>
                                  <w:t>Application Programming Interface (API)</w:t>
                                </w:r>
                              </w:hyperlink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. See the </w:t>
                              </w:r>
                              <w:hyperlink r:id="rId8" w:tooltip="Online Reconsiderations and Appeals interactive guide" w:history="1">
                                <w:r w:rsidRPr="00BE089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6ECF"/>
                                    <w:sz w:val="21"/>
                                    <w:szCs w:val="21"/>
                                  </w:rPr>
                                  <w:t>Online Reconsiderations and Appeals interactive guide</w:t>
                                </w:r>
                              </w:hyperlink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 for step-by-step instructions on how to submit reconsiderations and appeals electronically. </w:t>
                              </w:r>
                            </w:p>
                          </w:tc>
                        </w:tr>
                      </w:tbl>
                      <w:p w:rsidR="00BE0898" w:rsidRPr="00BE0898" w:rsidRDefault="00BE0898" w:rsidP="00BE08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BE0898" w:rsidRPr="00BE0898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BE0898" w:rsidRPr="00BE0898" w:rsidRDefault="00BE0898" w:rsidP="00BE0898">
                              <w:pPr>
                                <w:spacing w:after="225" w:line="450" w:lineRule="atLeast"/>
                                <w:outlineLvl w:val="1"/>
                                <w:rPr>
                                  <w:rFonts w:ascii="Arial" w:eastAsia="Times New Roman" w:hAnsi="Arial" w:cs="Arial"/>
                                  <w:color w:val="002677"/>
                                  <w:sz w:val="36"/>
                                  <w:szCs w:val="36"/>
                                </w:rPr>
                              </w:pPr>
                              <w:r w:rsidRPr="00BE0898">
                                <w:rPr>
                                  <w:rFonts w:ascii="Arial" w:eastAsia="Times New Roman" w:hAnsi="Arial" w:cs="Arial"/>
                                  <w:color w:val="002677"/>
                                  <w:sz w:val="36"/>
                                  <w:szCs w:val="36"/>
                                </w:rPr>
                                <w:t>Tips</w:t>
                              </w:r>
                            </w:p>
                            <w:p w:rsidR="00BE0898" w:rsidRPr="00BE0898" w:rsidRDefault="00BE0898" w:rsidP="00BE08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 xml:space="preserve">Check the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TrackIt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 xml:space="preserve"> Action Required bar regularly to see the status of claims, reconsideration requests and more</w:t>
                              </w:r>
                            </w:p>
                            <w:p w:rsidR="00BE0898" w:rsidRPr="00BE0898" w:rsidRDefault="00BE0898" w:rsidP="00BE08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To take action on a specific claim in the portal, go to Claims &amp; Payments and search for a claim. Once you’ve searched for a claim and selected Act on a Claim, a list of actions will appear (e.g., View Claim Reconsideration, File Appeal/Dispute). Based upon the current status of the claim or previously taken actions, the buttons will either be blue or grayed out. If grayed out, that specific action is unavailable.</w:t>
                              </w:r>
                            </w:p>
                            <w:p w:rsidR="00BE0898" w:rsidRPr="00BE0898" w:rsidRDefault="00BE0898" w:rsidP="00BE0898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Please note: Available actions may vary based on the member’s plan type, provider’s participation status and regulations</w:t>
                              </w:r>
                            </w:p>
                            <w:p w:rsidR="00BE0898" w:rsidRPr="00BE0898" w:rsidRDefault="00BE0898" w:rsidP="00BE08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If a claim(s) from your claim search results shows an “Acknowledgement” status, it hasn’t been processed. You’ll be unable to submit requests related to this claim.</w:t>
                              </w:r>
                            </w:p>
                            <w:p w:rsidR="00BE0898" w:rsidRPr="00BE0898" w:rsidRDefault="00BE0898" w:rsidP="00BE08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 w:rsidRPr="00BE0898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Reminder: Appeal response letters are no longer mailed, but you can view and print them through the portal using Document Library</w:t>
                              </w:r>
                            </w:p>
                          </w:tc>
                        </w:tr>
                      </w:tbl>
                      <w:p w:rsidR="00BE0898" w:rsidRPr="00BE0898" w:rsidRDefault="00BE0898" w:rsidP="00BE08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5F8F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BE0898" w:rsidRPr="00BE0898">
                          <w:tc>
                            <w:tcPr>
                              <w:tcW w:w="0" w:type="auto"/>
                              <w:shd w:val="clear" w:color="auto" w:fill="E5F8FB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3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BE0898" w:rsidRPr="00BE089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3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3"/>
                                      <w:gridCol w:w="7467"/>
                                    </w:tblGrid>
                                    <w:tr w:rsidR="00BE0898" w:rsidRPr="00BE0898">
                                      <w:tc>
                                        <w:tcPr>
                                          <w:tcW w:w="181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88"/>
                                          </w:tblGrid>
                                          <w:tr w:rsidR="00BE0898" w:rsidRPr="00BE0898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top w:w="375" w:type="dxa"/>
                                                  <w:left w:w="0" w:type="dxa"/>
                                                  <w:bottom w:w="3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88"/>
                                                </w:tblGrid>
                                                <w:tr w:rsidR="00BE0898" w:rsidRPr="00BE089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0898" w:rsidRPr="00BE0898" w:rsidRDefault="00BE0898" w:rsidP="00BE089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E089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294375AB" wp14:editId="65FCFC4F">
                                                            <wp:extent cx="609600" cy="609600"/>
                                                            <wp:effectExtent l="0" t="0" r="0" b="0"/>
                                                            <wp:docPr id="4" name="Picture 4" descr="https://image.provideremail.uhc.com/lib/fe3f11727564047d741c70/m/1/Icon_QMark_2C_Cir_RGB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s://image.provideremail.uhc.com/lib/fe3f11727564047d741c70/m/1/Icon_QMark_2C_Cir_RGB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09600" cy="609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0898" w:rsidRPr="00BE0898" w:rsidRDefault="00BE0898" w:rsidP="00BE08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0898" w:rsidRPr="00BE0898" w:rsidRDefault="00BE0898" w:rsidP="00BE08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95" w:type="dxa"/>
                                          <w:tcMar>
                                            <w:top w:w="0" w:type="dxa"/>
                                            <w:left w:w="4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422"/>
                                          </w:tblGrid>
                                          <w:tr w:rsidR="00BE0898" w:rsidRPr="00BE0898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top w:w="375" w:type="dxa"/>
                                                  <w:left w:w="75" w:type="dxa"/>
                                                  <w:bottom w:w="3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E0898" w:rsidRPr="00BE0898" w:rsidRDefault="00BE0898" w:rsidP="00BE0898">
                                                <w:pPr>
                                                  <w:spacing w:before="75" w:after="150" w:line="450" w:lineRule="atLeast"/>
                                                  <w:outlineLvl w:val="1"/>
                                                  <w:rPr>
                                                    <w:rFonts w:ascii="Arial" w:eastAsia="Times New Roman" w:hAnsi="Arial" w:cs="Arial"/>
                                                    <w:color w:val="002677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002677"/>
                                                    <w:sz w:val="36"/>
                                                    <w:szCs w:val="36"/>
                                                  </w:rPr>
                                                  <w:t>Questions?</w:t>
                                                </w:r>
                                              </w:p>
                                              <w:p w:rsidR="00BE0898" w:rsidRPr="00BE0898" w:rsidRDefault="00BE0898" w:rsidP="00BE0898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Please contact </w:t>
                                                </w:r>
                                                <w:proofErr w:type="spellStart"/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>UnitedHealthcare</w:t>
                                                </w:r>
                                                <w:proofErr w:type="spellEnd"/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Provider Services at </w:t>
                                                </w: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>877-842-3210</w:t>
                                                </w: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>, TTY/RTT </w:t>
                                                </w: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>711</w:t>
                                                </w: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>, 7 a.m.–5 p.m. CT, Monday–Friday. </w:t>
                                                </w: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For help accessing the portal and technical issues, please contact </w:t>
                                                </w:r>
                                                <w:proofErr w:type="spellStart"/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>UnitedHealthcare</w:t>
                                                </w:r>
                                                <w:proofErr w:type="spellEnd"/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Web Support at </w:t>
                                                </w:r>
                                                <w:hyperlink r:id="rId10" w:tooltip="providertechsupport@uhc.com" w:history="1">
                                                  <w:r w:rsidRPr="00BE0898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196ECF"/>
                                                      <w:sz w:val="21"/>
                                                      <w:szCs w:val="21"/>
                                                    </w:rPr>
                                                    <w:t>providertechsupport@uhc.com</w:t>
                                                  </w:r>
                                                </w:hyperlink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> or </w:t>
                                                </w: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>866-842-3278</w:t>
                                                </w:r>
                                                <w:r w:rsidRPr="00BE0898"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  <w:t>, option 1, 7 a.m.–9 p.m. CT, Monday–Friday. Primary Access Administrators may also contact Web Support for help updating notification emails.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E0898" w:rsidRPr="00BE0898" w:rsidRDefault="00BE0898" w:rsidP="00BE08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E0898" w:rsidRPr="00BE0898" w:rsidRDefault="00BE0898" w:rsidP="00BE08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E0898" w:rsidRPr="00BE0898" w:rsidRDefault="00BE0898" w:rsidP="00BE08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E0898" w:rsidRPr="00BE0898" w:rsidRDefault="00BE0898" w:rsidP="00BE08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p w:rsidR="00BE0898" w:rsidRPr="00BE0898" w:rsidRDefault="00BE0898" w:rsidP="00BE08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p w:rsidR="00BE0898" w:rsidRPr="00BE0898" w:rsidRDefault="00BE0898" w:rsidP="00BE08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p w:rsidR="00BE0898" w:rsidRPr="00BE0898" w:rsidRDefault="00BE0898" w:rsidP="00BE08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p w:rsidR="00BE0898" w:rsidRPr="00BE0898" w:rsidRDefault="00BE0898" w:rsidP="00BE08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p w:rsidR="00BE0898" w:rsidRPr="00BE0898" w:rsidRDefault="00BE0898" w:rsidP="00BE08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p w:rsidR="00BE0898" w:rsidRPr="00BE0898" w:rsidRDefault="00BE0898" w:rsidP="00BE08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E0898" w:rsidRPr="00BE0898" w:rsidTr="00BE0898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E0898" w:rsidRPr="00BE0898"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E0898" w:rsidRPr="00BE0898">
                    <w:tc>
                      <w:tcPr>
                        <w:tcW w:w="96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5F5F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BE0898" w:rsidRPr="00BE0898">
                          <w:tc>
                            <w:tcPr>
                              <w:tcW w:w="0" w:type="auto"/>
                              <w:shd w:val="clear" w:color="auto" w:fill="F5F5F5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BE0898" w:rsidRPr="00BE0898" w:rsidRDefault="00BE0898" w:rsidP="00BE089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</w:pPr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*Currently excludes: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commercial and Medicare Advantage Plans of Colorado, Pharmacy, Behavioral Health, Overpayment Reconsiderations &amp; Appeals requests, Capitated and delegated health care professionals, All Savers, Medicare Supplement Plans,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OneNet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PPO, Preferred Care Network, Preferred Care Partners (delegated), Rocky Mountain Health Plan, Sierra Health &amp; Life, Student Resources, Surest (formerly Bind),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FlexWork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, UHC Global, UHC West, UMR, and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UHOne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/Golden Rule.</w:t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br/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br/>
                                <w:t xml:space="preserve">Insurance coverage provided by or through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Insurance Company or its affiliates. Health plan coverage provided by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Arizona, Inc., UHC of California DBA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California,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Benefits Plan of California,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Colorado, Inc.,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the Mid-Atlantic, Inc., MAMSI Life and Health Insurance Company,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New York, Inc.,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Insurance Company of New York,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Oklahoma, Inc.,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Oregon, Inc.,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Pennsylvania, Inc.,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Texas, Inc.,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Benefits of Texas, Inc.,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Utah, Inc.,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of Washington, Inc., Optimum Choice, Inc., Oxford Health Insurance, Inc., Oxford Health Plans (NJ), Inc., Oxford Health Plans (CT), Inc., All Savers Insurance Company, or other affiliates. Administrative services provided by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OptumHealth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 Care Solutions, LLC,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OptumRx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, Oxford Health Plans LLC, United HealthCare Services, Inc., or other affiliates. Behavioral health products provided by U.S. Behavioral Health Plan, California (USBHPC), or its affiliates.</w:t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br/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br/>
                                <w:t>PCA-1-22-04476-PO-EM_03132023</w:t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br/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br/>
                                <w:t>© 2023 United HealthCare Services, Inc. All rights reserved.</w:t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br/>
                              </w:r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br/>
                                <w:t xml:space="preserve">This is a message from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. You are receiving this email because you are either a registered user of </w:t>
                              </w:r>
                              <w:hyperlink r:id="rId11" w:history="1">
                                <w:r w:rsidRPr="00BE089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66666"/>
                                    <w:sz w:val="17"/>
                                    <w:szCs w:val="17"/>
                                    <w:u w:val="single"/>
                                  </w:rPr>
                                  <w:t>UHCprovider.com</w:t>
                                </w:r>
                              </w:hyperlink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 xml:space="preserve"> or have contracted or subscribed to receive email communications from </w:t>
                              </w:r>
                              <w:proofErr w:type="spellStart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UnitedHealthcare</w:t>
                              </w:r>
                              <w:proofErr w:type="spellEnd"/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. We respect your right to privacy. Visit our website to read our </w:t>
                              </w:r>
                              <w:hyperlink r:id="rId12" w:history="1">
                                <w:r w:rsidRPr="00BE089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66666"/>
                                    <w:sz w:val="17"/>
                                    <w:szCs w:val="17"/>
                                    <w:u w:val="single"/>
                                  </w:rPr>
                                  <w:t>Privacy Policy</w:t>
                                </w:r>
                              </w:hyperlink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 and  </w:t>
                              </w:r>
                              <w:hyperlink r:id="rId13" w:history="1">
                                <w:r w:rsidRPr="00BE089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66666"/>
                                    <w:sz w:val="17"/>
                                    <w:szCs w:val="17"/>
                                    <w:u w:val="single"/>
                                  </w:rPr>
                                  <w:t>Security Notice</w:t>
                                </w:r>
                              </w:hyperlink>
                              <w:r w:rsidRPr="00BE0898">
                                <w:rPr>
                                  <w:rFonts w:ascii="Arial" w:eastAsia="Times New Roman" w:hAnsi="Arial" w:cs="Arial"/>
                                  <w:color w:val="636363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E0898" w:rsidRPr="00BE0898" w:rsidRDefault="00BE0898" w:rsidP="00BE08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0898" w:rsidRPr="00BE0898" w:rsidRDefault="00BE0898" w:rsidP="00BE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0898" w:rsidRPr="00BE0898" w:rsidRDefault="00BE0898" w:rsidP="00BE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F4CBE" w:rsidRDefault="00AF4CBE">
      <w:bookmarkStart w:id="0" w:name="_GoBack"/>
      <w:bookmarkEnd w:id="0"/>
    </w:p>
    <w:sectPr w:rsidR="00AF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D2EA5"/>
    <w:multiLevelType w:val="multilevel"/>
    <w:tmpl w:val="61B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8"/>
    <w:rsid w:val="00AF4CBE"/>
    <w:rsid w:val="00B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978C6-E7FC-43ED-A2AE-2D06A504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provideremail.uhc.com/?qs=fd2ac2be3301ea08a35041fb6bae3850b1e4950dd682b3e37b4ce774229bb72e2aa5b500c8f833edc303e776e7e178e7b7ec2469480d218c62447ac97d563fed" TargetMode="External"/><Relationship Id="rId13" Type="http://schemas.openxmlformats.org/officeDocument/2006/relationships/hyperlink" Target="https://click.provideremail.uhc.com/?qs=fd2ac2be3301ea08638ec3a5e06e98d8a1d28c08ee3a1836525840404aa076abd1f3c427aa67b8f69db8f9e3062ffe8811653cdf1133616484aaef69f5fce4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.provideremail.uhc.com/?qs=fd2ac2be3301ea0862abe056e38647e658cc729817b2e390f3b7ad38ca3c46e5bc7634777ea3cc0252bcaca9e548dc582ef3d62ee0ffeb14fe490c536f12859c" TargetMode="External"/><Relationship Id="rId12" Type="http://schemas.openxmlformats.org/officeDocument/2006/relationships/hyperlink" Target="https://click.provideremail.uhc.com/?qs=fd2ac2be3301ea08358173c60b967511582684feb5f464827f7bf3f7aea9da6d0814da348739c5dc44e46dfc1511a333caf12c41dc5684e2cfe398bd253fc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.provideremail.uhc.com/?qs=fd2ac2be3301ea0881a6704ceaf900855e24342f122c798cada0cd2850e850604ce52c9ccdce2575117eccc4a61b49f97ca8c8eba5a5bb9df9ca881eda5bfc08" TargetMode="External"/><Relationship Id="rId11" Type="http://schemas.openxmlformats.org/officeDocument/2006/relationships/hyperlink" Target="https://click.provideremail.uhc.com/?qs=fd2ac2be3301ea0808fed977bfde568b8decf28f42e9deeba843c7eba135e3cf22b8bfe44dafdd5447bf878643ee16c915b0d4f3adc67a9e60558cd91fade0b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rovidertechsupport@uhc.com?subject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Madison, Kimberly M</dc:creator>
  <cp:keywords/>
  <dc:description/>
  <cp:lastModifiedBy>Madison, Kimberly M</cp:lastModifiedBy>
  <cp:revision>1</cp:revision>
  <dcterms:created xsi:type="dcterms:W3CDTF">2023-03-23T18:51:00Z</dcterms:created>
  <dcterms:modified xsi:type="dcterms:W3CDTF">2023-03-23T18:52:00Z</dcterms:modified>
</cp:coreProperties>
</file>