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77" w:rsidRDefault="00072277" w:rsidP="00072277">
      <w:pPr>
        <w:autoSpaceDE w:val="0"/>
        <w:autoSpaceDN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Medical coverage and reimbursement policy updates – Physical therapy, occupational therapy, and chiropractic services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Physical therapy, occupational therapy, and chiropractic claims for greater than four units (60 minutes) of timed service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deny physical therapy (PT), occupational therapy (OT), and chiropractic claims submitted with greater than four units (60 minutes) of timed, short-term rehabilitation services per patient, per day, per provider as being not medically necessary.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update the Omnibus Codes (0504) medical coverage policy to reflect this change.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Modifiers CO and CQ reimbursement reduction for physical or occupational therapy assistant services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update the way we process claims submitted with modifiers CO and CQ for services rendered by a PT or OT assistant to reduce reimbursement of these modifiers by 15 percent.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update more closely aligns with industry standards, including the Centers for Medicare &amp; Medicaid Services’ National Physician Fee Schedule, which reimburses these services at 85 percent.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update the Health Care Common Procedure Coding System (HCPCS) National Level II Modifiers reimbursement policy to reflect this change.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Effective date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updates are based on the date of service and vary by state-regulated notice requirements: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Texas, Colorado, Kentucky, and Ohio</w:t>
      </w:r>
      <w:r>
        <w:rPr>
          <w:rFonts w:ascii="Arial" w:hAnsi="Arial" w:cs="Arial"/>
          <w:sz w:val="20"/>
          <w:szCs w:val="20"/>
        </w:rPr>
        <w:t xml:space="preserve">: November 1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All other states</w:t>
      </w:r>
      <w:r>
        <w:rPr>
          <w:rFonts w:ascii="Arial" w:hAnsi="Arial" w:cs="Arial"/>
          <w:sz w:val="20"/>
          <w:szCs w:val="20"/>
        </w:rPr>
        <w:t xml:space="preserve">: October 15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Additional information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Affected providers were notified by August 1. Emails were sent to providers with valid email addresses. Providers who do not have a valid email address were notified by mail. </w:t>
      </w: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about this policy update will be included in an article in the fourth quarter 2022 issue of </w:t>
      </w:r>
      <w:r>
        <w:rPr>
          <w:rFonts w:ascii="Arial" w:hAnsi="Arial" w:cs="Arial"/>
          <w:i/>
          <w:iCs/>
          <w:sz w:val="20"/>
          <w:szCs w:val="20"/>
        </w:rPr>
        <w:t>Network News</w:t>
      </w:r>
      <w:r>
        <w:rPr>
          <w:rFonts w:ascii="Arial" w:hAnsi="Arial" w:cs="Arial"/>
          <w:sz w:val="20"/>
          <w:szCs w:val="20"/>
        </w:rPr>
        <w:t xml:space="preserve">, and posted on the Cigna for Health Care Professionals website (CignaforHCP.com). </w:t>
      </w:r>
    </w:p>
    <w:p w:rsidR="0076112C" w:rsidRDefault="0076112C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6112C" w:rsidRDefault="0076112C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6112C" w:rsidRDefault="0076112C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072277" w:rsidRDefault="00072277" w:rsidP="0007227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6112C" w:rsidRDefault="0076112C" w:rsidP="0076112C">
      <w:pPr>
        <w:autoSpaceDE w:val="0"/>
        <w:autoSpaceDN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Cigna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LifeSOURCE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Transplant Network – Updated provider reference guide available </w:t>
      </w:r>
    </w:p>
    <w:p w:rsidR="0076112C" w:rsidRDefault="0076112C" w:rsidP="0076112C">
      <w:pPr>
        <w:autoSpaceDE w:val="0"/>
        <w:autoSpaceDN w:val="0"/>
        <w:rPr>
          <w:rFonts w:ascii="Symbol" w:hAnsi="Symbo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Updates have been made to the Cigna </w:t>
      </w:r>
      <w:proofErr w:type="spellStart"/>
      <w:r>
        <w:rPr>
          <w:rFonts w:ascii="Arial" w:hAnsi="Arial" w:cs="Arial"/>
          <w:sz w:val="20"/>
          <w:szCs w:val="20"/>
        </w:rPr>
        <w:t>LifeSOURCE</w:t>
      </w:r>
      <w:proofErr w:type="spellEnd"/>
      <w:r>
        <w:rPr>
          <w:rFonts w:ascii="Arial" w:hAnsi="Arial" w:cs="Arial"/>
          <w:sz w:val="20"/>
          <w:szCs w:val="20"/>
        </w:rPr>
        <w:t xml:space="preserve"> Transplant Network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  <w:szCs w:val="20"/>
        </w:rPr>
        <w:t>Provider Reference Guide for transplant facilities and physicians. The updated guide, which contains edits made throughout the entire guide, became effective on August 1.</w:t>
      </w:r>
    </w:p>
    <w:p w:rsidR="0076112C" w:rsidRDefault="0076112C" w:rsidP="0076112C"/>
    <w:p w:rsidR="0076112C" w:rsidRDefault="0076112C" w:rsidP="0076112C">
      <w:pPr>
        <w:autoSpaceDE w:val="0"/>
        <w:autoSpaceDN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Cigna reference guides – Updated versions now available </w:t>
      </w:r>
    </w:p>
    <w:p w:rsidR="0076112C" w:rsidRDefault="0076112C" w:rsidP="0076112C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Cigna reference guides for participating physicians, hospitals, ancillaries, and other health care professionals have been revised as part of a midyear update. The updated national and market-specific versions of the reference guides, which contain Cigna’s administrative guidelines and program requirements, became effective on August 16. </w:t>
      </w:r>
    </w:p>
    <w:p w:rsidR="0076112C" w:rsidRDefault="0076112C" w:rsidP="0076112C">
      <w:pPr>
        <w:autoSpaceDE w:val="0"/>
        <w:autoSpaceDN w:val="0"/>
      </w:pPr>
    </w:p>
    <w:p w:rsidR="0076112C" w:rsidRDefault="0076112C" w:rsidP="0076112C">
      <w:r>
        <w:rPr>
          <w:rFonts w:ascii="Arial" w:hAnsi="Arial" w:cs="Arial"/>
          <w:sz w:val="20"/>
          <w:szCs w:val="20"/>
        </w:rPr>
        <w:t>The guides can be accessed by registered users of the Cigna for Health Care Professionals website (CignaforHCP.com) in the Health Care Professional Reference Guides section.</w:t>
      </w:r>
    </w:p>
    <w:p w:rsidR="0076112C" w:rsidRDefault="0076112C" w:rsidP="0076112C"/>
    <w:p w:rsidR="0076112C" w:rsidRDefault="0076112C" w:rsidP="0076112C">
      <w:pPr>
        <w:autoSpaceDE w:val="0"/>
        <w:autoSpaceDN w:val="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Evernorth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Behavioral Health launches network flexibility on January 1, 2023 </w:t>
      </w:r>
    </w:p>
    <w:p w:rsidR="0076112C" w:rsidRDefault="0076112C" w:rsidP="0076112C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Evernorth</w:t>
      </w:r>
      <w:proofErr w:type="spellEnd"/>
      <w:r>
        <w:rPr>
          <w:rFonts w:ascii="Arial" w:hAnsi="Arial" w:cs="Arial"/>
          <w:sz w:val="20"/>
          <w:szCs w:val="20"/>
        </w:rPr>
        <w:t xml:space="preserve"> Behavioral Health rolls out network flexibility on January 1, 2023, we will introduce custom networks to our plan offerings. </w:t>
      </w:r>
    </w:p>
    <w:p w:rsidR="0076112C" w:rsidRDefault="0076112C" w:rsidP="0076112C">
      <w:pPr>
        <w:autoSpaceDE w:val="0"/>
        <w:autoSpaceDN w:val="0"/>
      </w:pPr>
    </w:p>
    <w:p w:rsidR="0076112C" w:rsidRDefault="0076112C" w:rsidP="0076112C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alignment with Cigna medical business and industry standards, the networks that support these plans may be refined by geography, specialty, quality metrics, virtual/digital capabilities, Individual &amp; Family Plans/exchange plans, etc. </w:t>
      </w:r>
    </w:p>
    <w:p w:rsidR="0076112C" w:rsidRDefault="0076112C" w:rsidP="0076112C">
      <w:pPr>
        <w:autoSpaceDE w:val="0"/>
        <w:autoSpaceDN w:val="0"/>
        <w:rPr>
          <w:strike/>
        </w:rPr>
      </w:pPr>
    </w:p>
    <w:p w:rsidR="0076112C" w:rsidRDefault="0076112C" w:rsidP="0076112C">
      <w:r>
        <w:rPr>
          <w:rFonts w:ascii="Arial" w:hAnsi="Arial" w:cs="Arial"/>
          <w:sz w:val="20"/>
          <w:szCs w:val="20"/>
        </w:rPr>
        <w:t xml:space="preserve">On September 1, we will send an email or letter and FAQ document to all contracted providers to inform them about our custom networks. </w:t>
      </w:r>
    </w:p>
    <w:p w:rsidR="009D7DEF" w:rsidRDefault="009D7DEF">
      <w:bookmarkStart w:id="0" w:name="_GoBack"/>
      <w:bookmarkEnd w:id="0"/>
    </w:p>
    <w:sectPr w:rsidR="009D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7"/>
    <w:rsid w:val="00072277"/>
    <w:rsid w:val="0076112C"/>
    <w:rsid w:val="009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8D36"/>
  <w15:chartTrackingRefBased/>
  <w15:docId w15:val="{2FA24D86-21C1-4DA1-AC5F-D1281CB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Kimberly M</dc:creator>
  <cp:keywords/>
  <dc:description/>
  <cp:lastModifiedBy>Madison, Kimberly M</cp:lastModifiedBy>
  <cp:revision>2</cp:revision>
  <dcterms:created xsi:type="dcterms:W3CDTF">2022-09-07T13:46:00Z</dcterms:created>
  <dcterms:modified xsi:type="dcterms:W3CDTF">2022-09-07T13:47:00Z</dcterms:modified>
</cp:coreProperties>
</file>