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78" w:rsidRPr="00077B78" w:rsidRDefault="00077B78" w:rsidP="00077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4"/>
          <w:szCs w:val="24"/>
        </w:rPr>
      </w:pPr>
      <w:r w:rsidRPr="00077B78">
        <w:rPr>
          <w:rFonts w:ascii="Arial" w:eastAsia="Times New Roman" w:hAnsi="Arial" w:cs="Arial"/>
          <w:color w:val="6F6F6F"/>
          <w:sz w:val="24"/>
          <w:szCs w:val="24"/>
        </w:rPr>
        <w:t>April 21, 2022</w:t>
      </w:r>
    </w:p>
    <w:p w:rsidR="00077B78" w:rsidRPr="00077B78" w:rsidRDefault="00077B78" w:rsidP="00077B7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UHCSerifHeadline-Semibold" w:eastAsia="Times New Roman" w:hAnsi="UHCSerifHeadline-Semibold" w:cs="Arial"/>
          <w:b/>
          <w:bCs/>
          <w:color w:val="002677"/>
          <w:kern w:val="36"/>
          <w:sz w:val="48"/>
          <w:szCs w:val="48"/>
        </w:rPr>
      </w:pPr>
      <w:r w:rsidRPr="00077B78">
        <w:rPr>
          <w:rFonts w:ascii="UHCSerifHeadline-Semibold" w:eastAsia="Times New Roman" w:hAnsi="UHCSerifHeadline-Semibold" w:cs="Arial"/>
          <w:b/>
          <w:bCs/>
          <w:color w:val="002677"/>
          <w:kern w:val="36"/>
          <w:sz w:val="48"/>
          <w:szCs w:val="48"/>
        </w:rPr>
        <w:t>Training available: Therapeutic Radiation Prior Authorization program</w:t>
      </w:r>
    </w:p>
    <w:p w:rsidR="00077B78" w:rsidRPr="00077B78" w:rsidRDefault="00077B78" w:rsidP="00077B78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Training is available on May 18, 2022, to help you navigate the new notification/prior authorization request process for outpatient radiation oncology therapies.  </w:t>
      </w:r>
    </w:p>
    <w:p w:rsidR="00077B78" w:rsidRPr="00077B78" w:rsidRDefault="00077B78" w:rsidP="00077B78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This new notification/prior authorization process will begin June 7, 2022, when </w:t>
      </w:r>
      <w:proofErr w:type="spellStart"/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Optum</w:t>
      </w:r>
      <w:proofErr w:type="spellEnd"/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® will start managing online requests for outpatient radiation oncology therapies. This applies to </w:t>
      </w:r>
      <w:proofErr w:type="spellStart"/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UnitedHealthcare</w:t>
      </w:r>
      <w:proofErr w:type="spellEnd"/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 </w:t>
      </w:r>
      <w:r w:rsidRPr="00077B78">
        <w:rPr>
          <w:rFonts w:ascii="UHC2020Sans" w:eastAsia="Times New Roman" w:hAnsi="UHC2020Sans" w:cs="Arial"/>
          <w:color w:val="000000"/>
          <w:sz w:val="16"/>
          <w:szCs w:val="16"/>
          <w:vertAlign w:val="superscript"/>
        </w:rPr>
        <w:t>®</w:t>
      </w: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 Medicare Advantage, </w:t>
      </w:r>
      <w:proofErr w:type="spellStart"/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UnitedHealthcare</w:t>
      </w:r>
      <w:proofErr w:type="spellEnd"/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 West Medicare Advantage and </w:t>
      </w:r>
      <w:proofErr w:type="spellStart"/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UnitedHealthcare</w:t>
      </w:r>
      <w:proofErr w:type="spellEnd"/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 Community Plan (Dual Special Needs Plan) health plans.</w:t>
      </w:r>
    </w:p>
    <w:p w:rsidR="00077B78" w:rsidRPr="00077B78" w:rsidRDefault="00077B78" w:rsidP="00077B78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077B7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t>Training session</w:t>
      </w:r>
      <w:r w:rsidRPr="00077B7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br/>
      </w: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The 1-hour training session on May 18, 2022, will cover:</w:t>
      </w:r>
    </w:p>
    <w:p w:rsidR="00077B78" w:rsidRPr="00077B78" w:rsidRDefault="00077B78" w:rsidP="00077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Prior authorization request process</w:t>
      </w:r>
    </w:p>
    <w:p w:rsidR="00077B78" w:rsidRPr="00077B78" w:rsidRDefault="00077B78" w:rsidP="00077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Online tool for submitting notification/prior authorization requests</w:t>
      </w: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br/>
        <w:t>o  The online tool will be open on June 1, 2022, for prior authorization requests with a start date of June 7, 2022, or later</w:t>
      </w:r>
    </w:p>
    <w:p w:rsidR="00077B78" w:rsidRPr="00077B78" w:rsidRDefault="00077B78" w:rsidP="00077B78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077B7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t>Register today</w:t>
      </w:r>
      <w:r w:rsidRPr="00077B7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br/>
      </w: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Use the following link to register for the upcoming session. After you register, you’ll receive a confirmation email with an option to add the training session to your calendar.</w:t>
      </w:r>
    </w:p>
    <w:p w:rsidR="00077B78" w:rsidRPr="00077B78" w:rsidRDefault="00077B78" w:rsidP="00077B78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t>May 18, 2022</w:t>
      </w:r>
      <w:r w:rsidRPr="00077B78">
        <w:rPr>
          <w:rFonts w:ascii="UHC2020Sans-Medium" w:eastAsia="Times New Roman" w:hAnsi="UHC2020Sans-Medium" w:cs="Arial"/>
          <w:color w:val="000000"/>
          <w:sz w:val="24"/>
          <w:szCs w:val="24"/>
        </w:rPr>
        <w:br/>
        <w:t>12 p.m. CT</w:t>
      </w:r>
    </w:p>
    <w:p w:rsidR="005278BF" w:rsidRDefault="005278BF"/>
    <w:p w:rsidR="00902EE1" w:rsidRDefault="00902EE1"/>
    <w:p w:rsidR="00902EE1" w:rsidRDefault="00902EE1"/>
    <w:p w:rsidR="00902EE1" w:rsidRDefault="00902EE1"/>
    <w:p w:rsidR="00902EE1" w:rsidRDefault="00902EE1"/>
    <w:p w:rsidR="00902EE1" w:rsidRDefault="00902EE1"/>
    <w:p w:rsidR="00902EE1" w:rsidRDefault="00902EE1"/>
    <w:p w:rsidR="00902EE1" w:rsidRDefault="00902EE1"/>
    <w:p w:rsidR="00902EE1" w:rsidRDefault="00902EE1"/>
    <w:p w:rsidR="00902EE1" w:rsidRDefault="00902EE1"/>
    <w:p w:rsidR="00902EE1" w:rsidRPr="004C3C88" w:rsidRDefault="00902EE1" w:rsidP="00902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24"/>
          <w:szCs w:val="24"/>
        </w:rPr>
      </w:pPr>
      <w:r w:rsidRPr="004C3C88">
        <w:rPr>
          <w:rFonts w:ascii="Arial" w:eastAsia="Times New Roman" w:hAnsi="Arial" w:cs="Arial"/>
          <w:color w:val="6F6F6F"/>
          <w:sz w:val="24"/>
          <w:szCs w:val="24"/>
        </w:rPr>
        <w:lastRenderedPageBreak/>
        <w:t>April 21, 2022</w:t>
      </w:r>
    </w:p>
    <w:p w:rsidR="00902EE1" w:rsidRPr="004C3C88" w:rsidRDefault="00902EE1" w:rsidP="00902E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UHCSerifHeadline-Semibold" w:eastAsia="Times New Roman" w:hAnsi="UHCSerifHeadline-Semibold" w:cs="Arial"/>
          <w:b/>
          <w:bCs/>
          <w:color w:val="002677"/>
          <w:kern w:val="36"/>
          <w:sz w:val="48"/>
          <w:szCs w:val="48"/>
        </w:rPr>
      </w:pPr>
      <w:r w:rsidRPr="004C3C88">
        <w:rPr>
          <w:rFonts w:ascii="UHCSerifHeadline-Semibold" w:eastAsia="Times New Roman" w:hAnsi="UHCSerifHeadline-Semibold" w:cs="Arial"/>
          <w:b/>
          <w:bCs/>
          <w:color w:val="002677"/>
          <w:kern w:val="36"/>
          <w:sz w:val="48"/>
          <w:szCs w:val="48"/>
        </w:rPr>
        <w:t xml:space="preserve">Commercial plans: Coverage change for </w:t>
      </w:r>
      <w:proofErr w:type="spellStart"/>
      <w:r w:rsidRPr="004C3C88">
        <w:rPr>
          <w:rFonts w:ascii="UHCSerifHeadline-Semibold" w:eastAsia="Times New Roman" w:hAnsi="UHCSerifHeadline-Semibold" w:cs="Arial"/>
          <w:b/>
          <w:bCs/>
          <w:color w:val="002677"/>
          <w:kern w:val="36"/>
          <w:sz w:val="48"/>
          <w:szCs w:val="48"/>
        </w:rPr>
        <w:t>Dexilant</w:t>
      </w:r>
      <w:proofErr w:type="spellEnd"/>
    </w:p>
    <w:p w:rsidR="00902EE1" w:rsidRPr="004C3C88" w:rsidRDefault="00902EE1" w:rsidP="00902EE1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Effective </w:t>
      </w:r>
      <w:r w:rsidRPr="004C3C8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t>May 1, 2022</w:t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, </w:t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Dexilant</w:t>
      </w:r>
      <w:proofErr w:type="spellEnd"/>
      <w:r w:rsidRPr="004C3C88">
        <w:rPr>
          <w:rFonts w:ascii="UHC2020Sans" w:eastAsia="Times New Roman" w:hAnsi="UHC2020Sans" w:cs="Arial"/>
          <w:color w:val="000000"/>
          <w:sz w:val="16"/>
          <w:szCs w:val="16"/>
          <w:vertAlign w:val="superscript"/>
        </w:rPr>
        <w:t>®</w:t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, a proton pump inhibitor (PPI), will be excluded from coverage for </w:t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UnitedHealthcare</w:t>
      </w:r>
      <w:proofErr w:type="spellEnd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 commercial pharmacy plans.  </w:t>
      </w:r>
    </w:p>
    <w:p w:rsidR="00902EE1" w:rsidRPr="004C3C88" w:rsidRDefault="00902EE1" w:rsidP="00902EE1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Alternatives, such as pantoprazole (generic </w:t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Protonix</w:t>
      </w:r>
      <w:proofErr w:type="spellEnd"/>
      <w:r w:rsidRPr="004C3C88">
        <w:rPr>
          <w:rFonts w:ascii="UHC2020Sans" w:eastAsia="Times New Roman" w:hAnsi="UHC2020Sans" w:cs="Arial"/>
          <w:color w:val="000000"/>
          <w:sz w:val="16"/>
          <w:szCs w:val="16"/>
          <w:vertAlign w:val="superscript"/>
        </w:rPr>
        <w:t>®</w:t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) and omeprazole (generic Prilosec</w:t>
      </w:r>
      <w:r w:rsidRPr="004C3C88">
        <w:rPr>
          <w:rFonts w:ascii="UHC2020Sans" w:eastAsia="Times New Roman" w:hAnsi="UHC2020Sans" w:cs="Arial"/>
          <w:color w:val="000000"/>
          <w:sz w:val="16"/>
          <w:szCs w:val="16"/>
          <w:vertAlign w:val="superscript"/>
        </w:rPr>
        <w:t>®</w:t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) will remain covered in Tier 1, and </w:t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rabeprazole</w:t>
      </w:r>
      <w:proofErr w:type="spellEnd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 (generic </w:t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Aciphex</w:t>
      </w:r>
      <w:proofErr w:type="spellEnd"/>
      <w:r w:rsidRPr="004C3C88">
        <w:rPr>
          <w:rFonts w:ascii="UHC2020Sans" w:eastAsia="Times New Roman" w:hAnsi="UHC2020Sans" w:cs="Arial"/>
          <w:color w:val="000000"/>
          <w:sz w:val="16"/>
          <w:szCs w:val="16"/>
          <w:vertAlign w:val="superscript"/>
        </w:rPr>
        <w:t>®</w:t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) will remain covered in Tier 2. Over-the-counter (OTC) options, including Nexium</w:t>
      </w:r>
      <w:r w:rsidRPr="004C3C88">
        <w:rPr>
          <w:rFonts w:ascii="UHC2020Sans" w:eastAsia="Times New Roman" w:hAnsi="UHC2020Sans" w:cs="Arial"/>
          <w:color w:val="000000"/>
          <w:sz w:val="16"/>
          <w:szCs w:val="16"/>
          <w:vertAlign w:val="superscript"/>
        </w:rPr>
        <w:t>® </w:t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24 HR, </w:t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Prevacid</w:t>
      </w:r>
      <w:proofErr w:type="spellEnd"/>
      <w:r w:rsidRPr="004C3C88">
        <w:rPr>
          <w:rFonts w:ascii="UHC2020Sans" w:eastAsia="Times New Roman" w:hAnsi="UHC2020Sans" w:cs="Arial"/>
          <w:color w:val="000000"/>
          <w:sz w:val="16"/>
          <w:szCs w:val="16"/>
          <w:vertAlign w:val="superscript"/>
        </w:rPr>
        <w:t>®</w:t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 24, Prilosec OTC, and </w:t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Zegerid</w:t>
      </w:r>
      <w:proofErr w:type="spellEnd"/>
      <w:r w:rsidRPr="004C3C88">
        <w:rPr>
          <w:rFonts w:ascii="UHC2020Sans" w:eastAsia="Times New Roman" w:hAnsi="UHC2020Sans" w:cs="Arial"/>
          <w:color w:val="000000"/>
          <w:sz w:val="16"/>
          <w:szCs w:val="16"/>
          <w:vertAlign w:val="superscript"/>
        </w:rPr>
        <w:t>®</w:t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 OTC, are available without a prescription.</w:t>
      </w:r>
    </w:p>
    <w:tbl>
      <w:tblPr>
        <w:tblW w:w="5000" w:type="pct"/>
        <w:tblBorders>
          <w:top w:val="single" w:sz="6" w:space="0" w:color="DADBDC"/>
          <w:left w:val="single" w:sz="6" w:space="0" w:color="DADBDC"/>
          <w:bottom w:val="single" w:sz="6" w:space="0" w:color="DADBDC"/>
          <w:right w:val="single" w:sz="6" w:space="0" w:color="DADB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380"/>
        <w:gridCol w:w="4264"/>
      </w:tblGrid>
      <w:tr w:rsidR="00902EE1" w:rsidRPr="004C3C88" w:rsidTr="00786FD3"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shd w:val="clear" w:color="auto" w:fill="E5F8FB"/>
            <w:vAlign w:val="center"/>
            <w:hideMark/>
          </w:tcPr>
          <w:p w:rsidR="00902EE1" w:rsidRPr="004C3C88" w:rsidRDefault="00902EE1" w:rsidP="00786FD3">
            <w:pPr>
              <w:spacing w:after="0" w:line="240" w:lineRule="auto"/>
              <w:rPr>
                <w:rFonts w:ascii="UHC2020Sans-Bold" w:eastAsia="Times New Roman" w:hAnsi="UHC2020Sans-Bold" w:cs="Times New Roman"/>
                <w:b/>
                <w:bCs/>
                <w:color w:val="002677"/>
                <w:sz w:val="24"/>
                <w:szCs w:val="24"/>
              </w:rPr>
            </w:pPr>
            <w:r w:rsidRPr="004C3C88">
              <w:rPr>
                <w:rFonts w:ascii="UHC2020Sans-Bold" w:eastAsia="Times New Roman" w:hAnsi="UHC2020Sans-Bold" w:cs="Times New Roman"/>
                <w:b/>
                <w:bCs/>
                <w:color w:val="002677"/>
                <w:sz w:val="24"/>
                <w:szCs w:val="24"/>
              </w:rPr>
              <w:t>PPIs</w:t>
            </w:r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shd w:val="clear" w:color="auto" w:fill="E5F8FB"/>
            <w:vAlign w:val="center"/>
            <w:hideMark/>
          </w:tcPr>
          <w:p w:rsidR="00902EE1" w:rsidRPr="004C3C88" w:rsidRDefault="00902EE1" w:rsidP="00786FD3">
            <w:pPr>
              <w:spacing w:after="0" w:line="240" w:lineRule="auto"/>
              <w:rPr>
                <w:rFonts w:ascii="UHC2020Sans-Bold" w:eastAsia="Times New Roman" w:hAnsi="UHC2020Sans-Bold" w:cs="Times New Roman"/>
                <w:b/>
                <w:bCs/>
                <w:color w:val="002677"/>
                <w:sz w:val="24"/>
                <w:szCs w:val="24"/>
              </w:rPr>
            </w:pPr>
            <w:r w:rsidRPr="004C3C88">
              <w:rPr>
                <w:rFonts w:ascii="UHC2020Sans-Bold" w:eastAsia="Times New Roman" w:hAnsi="UHC2020Sans-Bold" w:cs="Times New Roman"/>
                <w:b/>
                <w:bCs/>
                <w:color w:val="002677"/>
                <w:sz w:val="24"/>
                <w:szCs w:val="24"/>
              </w:rPr>
              <w:t>Current coverage</w:t>
            </w:r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shd w:val="clear" w:color="auto" w:fill="E5F8FB"/>
            <w:vAlign w:val="center"/>
            <w:hideMark/>
          </w:tcPr>
          <w:p w:rsidR="00902EE1" w:rsidRPr="004C3C88" w:rsidRDefault="00902EE1" w:rsidP="00786FD3">
            <w:pPr>
              <w:spacing w:after="0" w:line="240" w:lineRule="auto"/>
              <w:rPr>
                <w:rFonts w:ascii="UHC2020Sans-Bold" w:eastAsia="Times New Roman" w:hAnsi="UHC2020Sans-Bold" w:cs="Times New Roman"/>
                <w:b/>
                <w:bCs/>
                <w:color w:val="002677"/>
                <w:sz w:val="24"/>
                <w:szCs w:val="24"/>
              </w:rPr>
            </w:pPr>
            <w:r w:rsidRPr="004C3C88">
              <w:rPr>
                <w:rFonts w:ascii="UHC2020Sans-Bold" w:eastAsia="Times New Roman" w:hAnsi="UHC2020Sans-Bold" w:cs="Times New Roman"/>
                <w:b/>
                <w:bCs/>
                <w:color w:val="002677"/>
                <w:sz w:val="24"/>
                <w:szCs w:val="24"/>
              </w:rPr>
              <w:t>New coverage as of May 1, 2022</w:t>
            </w:r>
          </w:p>
        </w:tc>
      </w:tr>
      <w:tr w:rsidR="00902EE1" w:rsidRPr="004C3C88" w:rsidTr="00786FD3">
        <w:tc>
          <w:tcPr>
            <w:tcW w:w="2700" w:type="dxa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proofErr w:type="spellStart"/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Dexilant</w:t>
            </w:r>
            <w:proofErr w:type="spellEnd"/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vAlign w:val="center"/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Tier 3</w:t>
            </w:r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vAlign w:val="center"/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Excluded</w:t>
            </w:r>
          </w:p>
        </w:tc>
      </w:tr>
      <w:tr w:rsidR="00902EE1" w:rsidRPr="004C3C88" w:rsidTr="00786FD3"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omeprazole</w:t>
            </w:r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vAlign w:val="center"/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Tier 1</w:t>
            </w:r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vAlign w:val="center"/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No change</w:t>
            </w:r>
          </w:p>
        </w:tc>
      </w:tr>
      <w:tr w:rsidR="00902EE1" w:rsidRPr="004C3C88" w:rsidTr="00786FD3"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pantoprazole</w:t>
            </w:r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vAlign w:val="center"/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Tier 1</w:t>
            </w:r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vAlign w:val="center"/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No change</w:t>
            </w:r>
          </w:p>
        </w:tc>
      </w:tr>
      <w:tr w:rsidR="00902EE1" w:rsidRPr="004C3C88" w:rsidTr="00786FD3"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proofErr w:type="spellStart"/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rabeprazole</w:t>
            </w:r>
            <w:proofErr w:type="spellEnd"/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vAlign w:val="center"/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Tier 2</w:t>
            </w:r>
          </w:p>
        </w:tc>
        <w:tc>
          <w:tcPr>
            <w:tcW w:w="0" w:type="auto"/>
            <w:tcBorders>
              <w:top w:val="single" w:sz="6" w:space="0" w:color="DADBDC"/>
              <w:left w:val="single" w:sz="6" w:space="0" w:color="DADBDC"/>
              <w:bottom w:val="single" w:sz="6" w:space="0" w:color="DADBDC"/>
              <w:right w:val="single" w:sz="6" w:space="0" w:color="DADBDC"/>
            </w:tcBorders>
            <w:vAlign w:val="center"/>
            <w:hideMark/>
          </w:tcPr>
          <w:p w:rsidR="00902EE1" w:rsidRPr="004C3C88" w:rsidRDefault="00902EE1" w:rsidP="00786FD3">
            <w:pPr>
              <w:spacing w:after="0" w:line="336" w:lineRule="atLeast"/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</w:pPr>
            <w:r w:rsidRPr="004C3C88">
              <w:rPr>
                <w:rFonts w:ascii="UHC2020Sans-Medium" w:eastAsia="Times New Roman" w:hAnsi="UHC2020Sans-Medium" w:cs="Times New Roman"/>
                <w:color w:val="333333"/>
                <w:sz w:val="24"/>
                <w:szCs w:val="24"/>
              </w:rPr>
              <w:t>No change</w:t>
            </w:r>
          </w:p>
        </w:tc>
      </w:tr>
    </w:tbl>
    <w:p w:rsidR="00902EE1" w:rsidRPr="004C3C88" w:rsidRDefault="00902EE1" w:rsidP="00902EE1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4C3C8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t>What this means for you</w:t>
      </w:r>
      <w:r w:rsidRPr="004C3C8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br/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Dexilant</w:t>
      </w:r>
      <w:proofErr w:type="spellEnd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 xml:space="preserve"> cannot be automatically substituted at the pharmacy, so if you have a patient taking </w:t>
      </w:r>
      <w:proofErr w:type="spellStart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Dexilant</w:t>
      </w:r>
      <w:proofErr w:type="spellEnd"/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, you’ll need to provide them with a new prescription for a covered alternative or suggest an OTC option if you choose to continue PPI therapy. If a member continues taking medications that are no longer covered, they may be responsible for the full prescription cost.</w:t>
      </w:r>
    </w:p>
    <w:p w:rsidR="00902EE1" w:rsidRPr="004C3C88" w:rsidRDefault="00902EE1" w:rsidP="00902EE1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4C3C8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t>Use of PPIs</w:t>
      </w:r>
      <w:r w:rsidRPr="004C3C8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br/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It may be beneficial for members who have been taking PPIs for longer than the recommended duration of 4 weeks to be assessed for appropriateness of continued use. To help with your assessment, we’ve created </w:t>
      </w:r>
      <w:hyperlink r:id="rId5" w:tgtFrame="_blank" w:history="1">
        <w:r w:rsidRPr="004C3C88">
          <w:rPr>
            <w:rFonts w:ascii="UHC2020Sans-Medium" w:eastAsia="Times New Roman" w:hAnsi="UHC2020Sans-Medium" w:cs="Arial"/>
            <w:b/>
            <w:bCs/>
            <w:color w:val="196ECF"/>
            <w:sz w:val="24"/>
            <w:szCs w:val="24"/>
            <w:u w:val="single"/>
          </w:rPr>
          <w:t xml:space="preserve">guidance around the use of </w:t>
        </w:r>
        <w:proofErr w:type="spellStart"/>
        <w:r w:rsidRPr="004C3C88">
          <w:rPr>
            <w:rFonts w:ascii="UHC2020Sans-Medium" w:eastAsia="Times New Roman" w:hAnsi="UHC2020Sans-Medium" w:cs="Arial"/>
            <w:b/>
            <w:bCs/>
            <w:color w:val="196ECF"/>
            <w:sz w:val="24"/>
            <w:szCs w:val="24"/>
            <w:u w:val="single"/>
          </w:rPr>
          <w:t>PPIs</w:t>
        </w:r>
        <w:r w:rsidRPr="004C3C88">
          <w:rPr>
            <w:rFonts w:ascii="Material Icons" w:eastAsia="Times New Roman" w:hAnsi="Material Icons" w:cs="Arial"/>
            <w:color w:val="196ECF"/>
            <w:sz w:val="24"/>
            <w:szCs w:val="24"/>
          </w:rPr>
          <w:t>open_in_new</w:t>
        </w:r>
        <w:proofErr w:type="spellEnd"/>
      </w:hyperlink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 based on recommendations from the College of Family Physicians of Canada and the American Gastroenterology Association.</w:t>
      </w:r>
    </w:p>
    <w:p w:rsidR="00902EE1" w:rsidRPr="004C3C88" w:rsidRDefault="00902EE1" w:rsidP="00902EE1">
      <w:pPr>
        <w:shd w:val="clear" w:color="auto" w:fill="FFFFFF"/>
        <w:spacing w:before="100" w:beforeAutospacing="1" w:after="100" w:afterAutospacing="1" w:line="240" w:lineRule="auto"/>
        <w:rPr>
          <w:rFonts w:ascii="UHC2020Sans-Medium" w:eastAsia="Times New Roman" w:hAnsi="UHC2020Sans-Medium" w:cs="Arial"/>
          <w:color w:val="000000"/>
          <w:sz w:val="24"/>
          <w:szCs w:val="24"/>
        </w:rPr>
      </w:pPr>
      <w:r w:rsidRPr="004C3C8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t>Questions?</w:t>
      </w:r>
      <w:r w:rsidRPr="004C3C88">
        <w:rPr>
          <w:rFonts w:ascii="UHC2020Sans-Bold" w:eastAsia="Times New Roman" w:hAnsi="UHC2020Sans-Bold" w:cs="Arial"/>
          <w:b/>
          <w:bCs/>
          <w:color w:val="000000"/>
          <w:sz w:val="24"/>
          <w:szCs w:val="24"/>
        </w:rPr>
        <w:br/>
      </w:r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Email us at </w:t>
      </w:r>
      <w:hyperlink r:id="rId6" w:history="1">
        <w:r w:rsidRPr="004C3C88">
          <w:rPr>
            <w:rFonts w:ascii="UHC2020Sans-Medium" w:eastAsia="Times New Roman" w:hAnsi="UHC2020Sans-Medium" w:cs="Arial"/>
            <w:b/>
            <w:bCs/>
            <w:color w:val="196ECF"/>
            <w:sz w:val="24"/>
            <w:szCs w:val="24"/>
            <w:u w:val="single"/>
          </w:rPr>
          <w:t>pharmacy_news@uhc.com</w:t>
        </w:r>
      </w:hyperlink>
      <w:r w:rsidRPr="004C3C88">
        <w:rPr>
          <w:rFonts w:ascii="UHC2020Sans-Medium" w:eastAsia="Times New Roman" w:hAnsi="UHC2020Sans-Medium" w:cs="Arial"/>
          <w:color w:val="000000"/>
          <w:sz w:val="24"/>
          <w:szCs w:val="24"/>
        </w:rPr>
        <w:t>.</w:t>
      </w:r>
    </w:p>
    <w:p w:rsidR="00902EE1" w:rsidRDefault="00902EE1">
      <w:bookmarkStart w:id="0" w:name="_GoBack"/>
      <w:bookmarkEnd w:id="0"/>
    </w:p>
    <w:sectPr w:rsidR="0090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HCSerifHeadline-Semibold">
    <w:altName w:val="Times New Roman"/>
    <w:panose1 w:val="00000000000000000000"/>
    <w:charset w:val="00"/>
    <w:family w:val="roman"/>
    <w:notTrueType/>
    <w:pitch w:val="default"/>
  </w:font>
  <w:font w:name="UHC2020Sans-Medium">
    <w:altName w:val="Times New Roman"/>
    <w:panose1 w:val="00000000000000000000"/>
    <w:charset w:val="00"/>
    <w:family w:val="roman"/>
    <w:notTrueType/>
    <w:pitch w:val="default"/>
  </w:font>
  <w:font w:name="UHC2020Sans">
    <w:altName w:val="Times New Roman"/>
    <w:panose1 w:val="00000000000000000000"/>
    <w:charset w:val="00"/>
    <w:family w:val="roman"/>
    <w:notTrueType/>
    <w:pitch w:val="default"/>
  </w:font>
  <w:font w:name="UHC2020Sans-Bold">
    <w:altName w:val="Times New Roman"/>
    <w:panose1 w:val="00000000000000000000"/>
    <w:charset w:val="00"/>
    <w:family w:val="roman"/>
    <w:notTrueType/>
    <w:pitch w:val="default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E63D8"/>
    <w:multiLevelType w:val="multilevel"/>
    <w:tmpl w:val="612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78"/>
    <w:rsid w:val="00077B78"/>
    <w:rsid w:val="005278BF"/>
    <w:rsid w:val="009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ABE8"/>
  <w15:chartTrackingRefBased/>
  <w15:docId w15:val="{05E7007A-F606-4F69-AA77-F5CA538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terial-icons">
    <w:name w:val="material-icons"/>
    <w:basedOn w:val="DefaultParagraphFont"/>
    <w:rsid w:val="00077B78"/>
  </w:style>
  <w:style w:type="paragraph" w:styleId="NormalWeb">
    <w:name w:val="Normal (Web)"/>
    <w:basedOn w:val="Normal"/>
    <w:uiPriority w:val="99"/>
    <w:semiHidden/>
    <w:unhideWhenUsed/>
    <w:rsid w:val="0007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rmacy_news@uhc.com" TargetMode="External"/><Relationship Id="rId5" Type="http://schemas.openxmlformats.org/officeDocument/2006/relationships/hyperlink" Target="https://www.uhcprovider.com/content/dam/provider/docs/public/resources/pharmacy/PPI-Guid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Madison, Kimberly M</dc:creator>
  <cp:keywords/>
  <dc:description/>
  <cp:lastModifiedBy>West, Coleman P</cp:lastModifiedBy>
  <cp:revision>2</cp:revision>
  <dcterms:created xsi:type="dcterms:W3CDTF">2022-04-25T13:01:00Z</dcterms:created>
  <dcterms:modified xsi:type="dcterms:W3CDTF">2022-04-26T14:14:00Z</dcterms:modified>
</cp:coreProperties>
</file>