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6171" w14:textId="453CB1D8" w:rsidR="008065C2" w:rsidRDefault="00A3416B" w:rsidP="0034535D">
      <w:pPr>
        <w:pStyle w:val="Heading1"/>
        <w:jc w:val="center"/>
      </w:pPr>
      <w:r>
        <w:t xml:space="preserve">UnitedHealthcare </w:t>
      </w:r>
      <w:r w:rsidR="0034535D">
        <w:t xml:space="preserve">Routine Lab Policies </w:t>
      </w:r>
      <w:r w:rsidR="0034535D">
        <w:br/>
      </w:r>
      <w:r w:rsidR="0034535D" w:rsidRPr="0034535D">
        <w:rPr>
          <w:sz w:val="24"/>
          <w:szCs w:val="24"/>
        </w:rPr>
        <w:t>(Referenced in September Network News)</w:t>
      </w:r>
    </w:p>
    <w:p w14:paraId="3B4C0A89" w14:textId="77777777" w:rsidR="008065C2" w:rsidRDefault="008065C2">
      <w:hyperlink>
        <w:r>
          <w:rPr>
            <w:b/>
            <w:sz w:val="24"/>
          </w:rPr>
          <w:t>Flow Cytometry Policy</w:t>
        </w:r>
      </w:hyperlink>
    </w:p>
    <w:p w14:paraId="6F3D057B" w14:textId="77777777" w:rsidR="008065C2" w:rsidRDefault="00A3416B">
      <w:r>
        <w:t>Outlines reimbursement methodology and frequency limitations for flow cytometry procedures.</w:t>
      </w:r>
    </w:p>
    <w:p w14:paraId="1308261D" w14:textId="77777777" w:rsidR="008065C2" w:rsidRDefault="00A3416B">
      <w:r>
        <w:t>Policy Link: https://www.uhcprovider.com/content/dam/provider/docs/public/policies/comm-reimbursement/COMM-Flow-Cytometry-Policy.pdf</w:t>
      </w:r>
    </w:p>
    <w:p w14:paraId="3AAAE5B3" w14:textId="77777777" w:rsidR="008065C2" w:rsidRDefault="008065C2">
      <w:hyperlink>
        <w:r>
          <w:rPr>
            <w:b/>
            <w:sz w:val="24"/>
          </w:rPr>
          <w:t>Diabetes Mellitus Testing Policy</w:t>
        </w:r>
      </w:hyperlink>
    </w:p>
    <w:p w14:paraId="493AE296" w14:textId="77777777" w:rsidR="008065C2" w:rsidRDefault="00A3416B">
      <w:r>
        <w:t>Addresses coding and billing for diabetes-related lab services including HbA1c and glucose testing.</w:t>
      </w:r>
    </w:p>
    <w:p w14:paraId="7313772C" w14:textId="77777777" w:rsidR="008065C2" w:rsidRDefault="00A3416B">
      <w:r>
        <w:t>Policy Link: https://www.uhcprovider.com/content/dam/provider/docs/public/policies/comm-reimbursement/COMM-Diabetes-Mellitus-Testing-Policy.pdf</w:t>
      </w:r>
    </w:p>
    <w:p w14:paraId="4CCFB54A" w14:textId="77777777" w:rsidR="008065C2" w:rsidRDefault="008065C2">
      <w:hyperlink>
        <w:r>
          <w:rPr>
            <w:b/>
            <w:sz w:val="24"/>
          </w:rPr>
          <w:t>Iron Homeostasis and Metabolism Policy</w:t>
        </w:r>
      </w:hyperlink>
    </w:p>
    <w:p w14:paraId="576ABDB6" w14:textId="77777777" w:rsidR="008065C2" w:rsidRDefault="00A3416B">
      <w:r>
        <w:t>Provides reimbursement guidance for iron metabolism testing, including ferritin and transferrin saturation.</w:t>
      </w:r>
    </w:p>
    <w:p w14:paraId="34FCC330" w14:textId="77777777" w:rsidR="008065C2" w:rsidRDefault="00A3416B">
      <w:r>
        <w:t>Policy Link: https://www.uhcprovider.com/content/dam/provider/docs/public/policies/medadv-reimbursement/MEDADV-Iron-Homeostasis-Metabolism-Policy.pdf</w:t>
      </w:r>
    </w:p>
    <w:p w14:paraId="5FD8DAA2" w14:textId="77777777" w:rsidR="008065C2" w:rsidRDefault="008065C2">
      <w:hyperlink>
        <w:r>
          <w:rPr>
            <w:b/>
            <w:sz w:val="24"/>
          </w:rPr>
          <w:t>Enzyme Testing for Acute Pancreatitis Policy</w:t>
        </w:r>
      </w:hyperlink>
    </w:p>
    <w:p w14:paraId="1D485CA9" w14:textId="77777777" w:rsidR="008065C2" w:rsidRDefault="00A3416B">
      <w:r>
        <w:t>Details reimbursement for pancreatic enzyme testing such as lipase and amylase.</w:t>
      </w:r>
    </w:p>
    <w:p w14:paraId="7C1770C5" w14:textId="77777777" w:rsidR="008065C2" w:rsidRDefault="00A3416B">
      <w:r>
        <w:t>Policy Link: https://www.uhcprovider.com/content/dam/provider/docs/public/policies/comm-reimbursement/COMM-Enzyme-Testing-Acute-Pancreatitis-Policy.pdf</w:t>
      </w:r>
    </w:p>
    <w:p w14:paraId="2A4E2A4E" w14:textId="77777777" w:rsidR="008065C2" w:rsidRDefault="008065C2">
      <w:hyperlink>
        <w:r>
          <w:rPr>
            <w:b/>
            <w:sz w:val="24"/>
          </w:rPr>
          <w:t>Prostate Biopsy Specimen Analysis Policy</w:t>
        </w:r>
      </w:hyperlink>
    </w:p>
    <w:p w14:paraId="13B9CC2E" w14:textId="77777777" w:rsidR="008065C2" w:rsidRDefault="00A3416B">
      <w:r>
        <w:t>Covers coding and billing for prostate biopsy analysis including molecular and histological evaluation.</w:t>
      </w:r>
    </w:p>
    <w:p w14:paraId="59DAAC05" w14:textId="77777777" w:rsidR="008065C2" w:rsidRDefault="00A3416B">
      <w:r>
        <w:t>Policy Link: https://www.uhcprovider.com/content/dam/provider/docs/public/policies/comm-reimbursement/COMM-Prostate-Biopsy-Specimen-Analysis-Policy.pdf</w:t>
      </w:r>
    </w:p>
    <w:p w14:paraId="35061535" w14:textId="77777777" w:rsidR="008065C2" w:rsidRDefault="008065C2">
      <w:hyperlink>
        <w:r>
          <w:rPr>
            <w:b/>
            <w:sz w:val="24"/>
          </w:rPr>
          <w:t>Intestinal Dysbiosis and Fecal Microbiota Transplant Testing Policy</w:t>
        </w:r>
      </w:hyperlink>
    </w:p>
    <w:p w14:paraId="4568607B" w14:textId="77777777" w:rsidR="008065C2" w:rsidRDefault="00A3416B">
      <w:r>
        <w:t>Includes fecal analysis for dysbiosis and transplant testing, outlining covered procedures and limitations.</w:t>
      </w:r>
    </w:p>
    <w:p w14:paraId="504A1A6F" w14:textId="77777777" w:rsidR="008065C2" w:rsidRDefault="00A3416B">
      <w:r>
        <w:lastRenderedPageBreak/>
        <w:t>Policy Link: https://www.uhcprovider.com/content/dam/provider/docs/public/policies/comm-reimbursement/COMM-Intestinal-Dysbiosis-Fecal-Microbiota-Transplant-Testing-Policy.pdf</w:t>
      </w:r>
    </w:p>
    <w:p w14:paraId="45E506AA" w14:textId="77777777" w:rsidR="008065C2" w:rsidRDefault="008065C2">
      <w:hyperlink>
        <w:r>
          <w:rPr>
            <w:b/>
            <w:sz w:val="24"/>
          </w:rPr>
          <w:t>Homocysteine Testing for Metabolism Policy</w:t>
        </w:r>
      </w:hyperlink>
    </w:p>
    <w:p w14:paraId="7E3D88A3" w14:textId="77777777" w:rsidR="008065C2" w:rsidRDefault="00A3416B">
      <w:r>
        <w:t>Reimbursement guidance for homocysteine metabolism testing used in cardiovascular risk assessment.</w:t>
      </w:r>
    </w:p>
    <w:p w14:paraId="19AFD01A" w14:textId="77777777" w:rsidR="008065C2" w:rsidRDefault="00A3416B">
      <w:r>
        <w:t>Policy Link: https://www.uhcprovider.com/content/dam/provider/docs/public/policies/comm-reimbursement/COMM-IEX-Homocysteine-Testing-Metabolism-Policy-Pro-Facility.pdf</w:t>
      </w:r>
    </w:p>
    <w:p w14:paraId="08CF24BB" w14:textId="77777777" w:rsidR="008065C2" w:rsidRDefault="008065C2">
      <w:hyperlink>
        <w:r>
          <w:rPr>
            <w:b/>
            <w:sz w:val="24"/>
          </w:rPr>
          <w:t>Lyme Disease Testing Policy</w:t>
        </w:r>
      </w:hyperlink>
    </w:p>
    <w:p w14:paraId="0DC0BEA7" w14:textId="77777777" w:rsidR="008065C2" w:rsidRDefault="00A3416B">
      <w:r>
        <w:t>Covers Lyme disease diagnostic procedures including ELISA and Western blot testing.</w:t>
      </w:r>
    </w:p>
    <w:p w14:paraId="365EC04B" w14:textId="77777777" w:rsidR="008065C2" w:rsidRDefault="00A3416B">
      <w:r>
        <w:t>Policy Link: https://www.uhcprovider.com/content/dam/provider/docs/public/policies/comm-reimbursement/COMM-IEX-Lyme-Disease-Testing-Policy-Professional-Facility.pdf</w:t>
      </w:r>
    </w:p>
    <w:p w14:paraId="6C03DCDA" w14:textId="77777777" w:rsidR="008065C2" w:rsidRDefault="008065C2">
      <w:hyperlink>
        <w:r>
          <w:rPr>
            <w:b/>
            <w:sz w:val="24"/>
          </w:rPr>
          <w:t>Bone Turnover Marker Testing of Osteoporosis Policy</w:t>
        </w:r>
      </w:hyperlink>
    </w:p>
    <w:p w14:paraId="6B3C8EB4" w14:textId="77777777" w:rsidR="008065C2" w:rsidRDefault="00A3416B">
      <w:r>
        <w:t>Reimbursement for bone turnover markers in osteoporosis management including CTX and NTX.</w:t>
      </w:r>
    </w:p>
    <w:p w14:paraId="0D3B84CF" w14:textId="77777777" w:rsidR="008065C2" w:rsidRDefault="00A3416B">
      <w:r>
        <w:t>Policy Link: https://www.uhcprovider.com/content/dam/provider/docs/public/policies/comm-reimbursement/COMM-Bone-Turnover-Marker-Testing-Osteoporosis-Policy.pdf</w:t>
      </w:r>
    </w:p>
    <w:sectPr w:rsidR="008065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300127">
    <w:abstractNumId w:val="8"/>
  </w:num>
  <w:num w:numId="2" w16cid:durableId="1180509085">
    <w:abstractNumId w:val="6"/>
  </w:num>
  <w:num w:numId="3" w16cid:durableId="1382555643">
    <w:abstractNumId w:val="5"/>
  </w:num>
  <w:num w:numId="4" w16cid:durableId="1557815519">
    <w:abstractNumId w:val="4"/>
  </w:num>
  <w:num w:numId="5" w16cid:durableId="970214211">
    <w:abstractNumId w:val="7"/>
  </w:num>
  <w:num w:numId="6" w16cid:durableId="1749039255">
    <w:abstractNumId w:val="3"/>
  </w:num>
  <w:num w:numId="7" w16cid:durableId="1174228194">
    <w:abstractNumId w:val="2"/>
  </w:num>
  <w:num w:numId="8" w16cid:durableId="1276789263">
    <w:abstractNumId w:val="1"/>
  </w:num>
  <w:num w:numId="9" w16cid:durableId="6018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B54"/>
    <w:rsid w:val="0015074B"/>
    <w:rsid w:val="0029639D"/>
    <w:rsid w:val="00326F90"/>
    <w:rsid w:val="0034535D"/>
    <w:rsid w:val="003A6655"/>
    <w:rsid w:val="008065C2"/>
    <w:rsid w:val="00A3416B"/>
    <w:rsid w:val="00AA1D8D"/>
    <w:rsid w:val="00B47730"/>
    <w:rsid w:val="00C87F6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DDCDC"/>
  <w14:defaultImageDpi w14:val="300"/>
  <w15:docId w15:val="{5AB0A7BE-5929-42FF-AF35-C6859D0C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Thurston, Connie F</cp:lastModifiedBy>
  <cp:revision>2</cp:revision>
  <dcterms:created xsi:type="dcterms:W3CDTF">2025-09-24T13:02:00Z</dcterms:created>
  <dcterms:modified xsi:type="dcterms:W3CDTF">2025-09-24T13:02:00Z</dcterms:modified>
  <cp:category/>
</cp:coreProperties>
</file>