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E0E0E0"/>
        <w:tblCellMar>
          <w:left w:w="0" w:type="dxa"/>
          <w:right w:w="0" w:type="dxa"/>
        </w:tblCellMar>
        <w:tblLook w:val="04A0" w:firstRow="1" w:lastRow="0" w:firstColumn="1" w:lastColumn="0" w:noHBand="0" w:noVBand="1"/>
      </w:tblPr>
      <w:tblGrid>
        <w:gridCol w:w="9360"/>
      </w:tblGrid>
      <w:tr w:rsidR="00E24A9F" w:rsidRPr="00E24A9F" w:rsidTr="00E24A9F">
        <w:trPr>
          <w:jc w:val="center"/>
        </w:trPr>
        <w:tc>
          <w:tcPr>
            <w:tcW w:w="0" w:type="auto"/>
            <w:shd w:val="clear" w:color="auto" w:fill="E0E0E0"/>
            <w:vAlign w:val="center"/>
            <w:hideMark/>
          </w:tcPr>
          <w:tbl>
            <w:tblPr>
              <w:tblW w:w="9600" w:type="dxa"/>
              <w:jc w:val="center"/>
              <w:tblCellMar>
                <w:left w:w="0" w:type="dxa"/>
                <w:right w:w="0" w:type="dxa"/>
              </w:tblCellMar>
              <w:tblLook w:val="04A0" w:firstRow="1" w:lastRow="0" w:firstColumn="1" w:lastColumn="0" w:noHBand="0" w:noVBand="1"/>
            </w:tblPr>
            <w:tblGrid>
              <w:gridCol w:w="9360"/>
            </w:tblGrid>
            <w:tr w:rsidR="00E24A9F" w:rsidRPr="00E24A9F">
              <w:trPr>
                <w:jc w:val="center"/>
              </w:trPr>
              <w:tc>
                <w:tcPr>
                  <w:tcW w:w="0" w:type="auto"/>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E24A9F" w:rsidRPr="00E24A9F">
                    <w:trPr>
                      <w:jc w:val="center"/>
                    </w:trPr>
                    <w:tc>
                      <w:tcPr>
                        <w:tcW w:w="0" w:type="auto"/>
                        <w:shd w:val="clear" w:color="auto" w:fill="F5F5F5"/>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E24A9F" w:rsidRPr="00E24A9F">
                          <w:trPr>
                            <w:jc w:val="center"/>
                          </w:trPr>
                          <w:tc>
                            <w:tcPr>
                              <w:tcW w:w="0" w:type="auto"/>
                              <w:tcMar>
                                <w:top w:w="180" w:type="dxa"/>
                                <w:left w:w="600" w:type="dxa"/>
                                <w:bottom w:w="180" w:type="dxa"/>
                                <w:right w:w="600" w:type="dxa"/>
                              </w:tcMar>
                              <w:vAlign w:val="center"/>
                              <w:hideMark/>
                            </w:tcPr>
                            <w:p w:rsidR="00E24A9F" w:rsidRPr="00E24A9F" w:rsidRDefault="00E24A9F" w:rsidP="00E24A9F">
                              <w:pPr>
                                <w:spacing w:after="0" w:line="270" w:lineRule="atLeast"/>
                                <w:jc w:val="center"/>
                                <w:rPr>
                                  <w:rFonts w:ascii="Arial" w:eastAsia="Times New Roman" w:hAnsi="Arial" w:cs="Arial"/>
                                  <w:color w:val="636363"/>
                                  <w:sz w:val="18"/>
                                  <w:szCs w:val="18"/>
                                </w:rPr>
                              </w:pPr>
                              <w:r w:rsidRPr="00E24A9F">
                                <w:rPr>
                                  <w:rFonts w:ascii="Arial" w:eastAsia="Times New Roman" w:hAnsi="Arial" w:cs="Arial"/>
                                  <w:color w:val="636363"/>
                                  <w:sz w:val="18"/>
                                  <w:szCs w:val="18"/>
                                </w:rPr>
                                <w:t xml:space="preserve">If you are unable to read this message or see the images, </w:t>
                              </w:r>
                              <w:hyperlink r:id="rId5" w:history="1">
                                <w:r w:rsidRPr="00E24A9F">
                                  <w:rPr>
                                    <w:rFonts w:ascii="Arial" w:eastAsia="Times New Roman" w:hAnsi="Arial" w:cs="Arial"/>
                                    <w:color w:val="666666"/>
                                    <w:sz w:val="18"/>
                                    <w:szCs w:val="18"/>
                                    <w:u w:val="single"/>
                                  </w:rPr>
                                  <w:t>view it online</w:t>
                                </w:r>
                              </w:hyperlink>
                              <w:r w:rsidRPr="00E24A9F">
                                <w:rPr>
                                  <w:rFonts w:ascii="Arial" w:eastAsia="Times New Roman" w:hAnsi="Arial" w:cs="Arial"/>
                                  <w:color w:val="636363"/>
                                  <w:sz w:val="18"/>
                                  <w:szCs w:val="18"/>
                                </w:rPr>
                                <w:t xml:space="preserve"> </w:t>
                              </w:r>
                            </w:p>
                          </w:tc>
                        </w:tr>
                      </w:tbl>
                      <w:p w:rsidR="00E24A9F" w:rsidRPr="00E24A9F" w:rsidRDefault="00E24A9F" w:rsidP="00E24A9F">
                        <w:pPr>
                          <w:spacing w:after="0" w:line="240" w:lineRule="auto"/>
                          <w:jc w:val="center"/>
                          <w:rPr>
                            <w:rFonts w:ascii="Times New Roman" w:eastAsia="Times New Roman" w:hAnsi="Times New Roman" w:cs="Times New Roman"/>
                            <w:sz w:val="20"/>
                            <w:szCs w:val="20"/>
                          </w:rPr>
                        </w:pPr>
                      </w:p>
                    </w:tc>
                  </w:tr>
                  <w:tr w:rsidR="00E24A9F" w:rsidRPr="00E24A9F">
                    <w:trPr>
                      <w:jc w:val="center"/>
                    </w:trPr>
                    <w:tc>
                      <w:tcPr>
                        <w:tcW w:w="0" w:type="auto"/>
                        <w:shd w:val="clear" w:color="auto" w:fill="FFFFFF"/>
                        <w:tcMar>
                          <w:top w:w="450" w:type="dxa"/>
                          <w:left w:w="300" w:type="dxa"/>
                          <w:bottom w:w="450" w:type="dxa"/>
                          <w:right w:w="0" w:type="dxa"/>
                        </w:tcMar>
                        <w:vAlign w:val="cente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E24A9F" w:rsidRPr="00E24A9F">
                          <w:tc>
                            <w:tcPr>
                              <w:tcW w:w="465" w:type="dxa"/>
                              <w:vAlign w:val="center"/>
                              <w:hideMark/>
                            </w:tcPr>
                            <w:p w:rsidR="00E24A9F" w:rsidRPr="00E24A9F" w:rsidRDefault="00E24A9F" w:rsidP="00E24A9F">
                              <w:pPr>
                                <w:spacing w:after="0" w:line="240" w:lineRule="auto"/>
                                <w:rPr>
                                  <w:rFonts w:ascii="Times New Roman" w:eastAsia="Times New Roman" w:hAnsi="Times New Roman" w:cs="Times New Roman"/>
                                  <w:sz w:val="24"/>
                                  <w:szCs w:val="24"/>
                                </w:rPr>
                              </w:pPr>
                              <w:r w:rsidRPr="00E24A9F">
                                <w:rPr>
                                  <w:rFonts w:ascii="Times New Roman" w:eastAsia="Times New Roman" w:hAnsi="Times New Roman" w:cs="Times New Roman"/>
                                  <w:noProof/>
                                  <w:sz w:val="24"/>
                                  <w:szCs w:val="24"/>
                                </w:rPr>
                                <w:drawing>
                                  <wp:inline distT="0" distB="0" distL="0" distR="0" wp14:anchorId="6C7E1F82" wp14:editId="235953A7">
                                    <wp:extent cx="295275" cy="514350"/>
                                    <wp:effectExtent l="0" t="0" r="9525" b="0"/>
                                    <wp:docPr id="1" name="Picture 1"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Healthc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514350"/>
                                            </a:xfrm>
                                            <a:prstGeom prst="rect">
                                              <a:avLst/>
                                            </a:prstGeom>
                                            <a:noFill/>
                                            <a:ln>
                                              <a:noFill/>
                                            </a:ln>
                                          </pic:spPr>
                                        </pic:pic>
                                      </a:graphicData>
                                    </a:graphic>
                                  </wp:inline>
                                </w:drawing>
                              </w:r>
                            </w:p>
                          </w:tc>
                        </w:tr>
                      </w:tbl>
                      <w:p w:rsidR="00E24A9F" w:rsidRPr="00E24A9F" w:rsidRDefault="00E24A9F" w:rsidP="00E24A9F">
                        <w:pPr>
                          <w:spacing w:after="0" w:line="240" w:lineRule="auto"/>
                          <w:rPr>
                            <w:rFonts w:ascii="Times New Roman" w:eastAsia="Times New Roman" w:hAnsi="Times New Roman" w:cs="Times New Roman"/>
                            <w:sz w:val="20"/>
                            <w:szCs w:val="20"/>
                          </w:rPr>
                        </w:pPr>
                      </w:p>
                    </w:tc>
                  </w:tr>
                  <w:tr w:rsidR="00E24A9F" w:rsidRPr="00E24A9F">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E24A9F" w:rsidRPr="00E24A9F">
                          <w:trPr>
                            <w:jc w:val="center"/>
                          </w:trPr>
                          <w:tc>
                            <w:tcPr>
                              <w:tcW w:w="0" w:type="auto"/>
                              <w:tcMar>
                                <w:top w:w="450" w:type="dxa"/>
                                <w:left w:w="150" w:type="dxa"/>
                                <w:bottom w:w="0" w:type="dxa"/>
                                <w:right w:w="150" w:type="dxa"/>
                              </w:tcMar>
                              <w:vAlign w:val="center"/>
                              <w:hideMark/>
                            </w:tcPr>
                            <w:p w:rsidR="00E24A9F" w:rsidRPr="00E24A9F" w:rsidRDefault="00E24A9F" w:rsidP="00E24A9F">
                              <w:pPr>
                                <w:spacing w:after="75" w:line="495" w:lineRule="atLeast"/>
                                <w:outlineLvl w:val="0"/>
                                <w:rPr>
                                  <w:rFonts w:ascii="Georgia" w:eastAsia="Times New Roman" w:hAnsi="Georgia" w:cs="Arial"/>
                                  <w:b/>
                                  <w:bCs/>
                                  <w:color w:val="002677"/>
                                  <w:kern w:val="36"/>
                                  <w:sz w:val="42"/>
                                  <w:szCs w:val="42"/>
                                </w:rPr>
                              </w:pPr>
                              <w:r w:rsidRPr="00E24A9F">
                                <w:rPr>
                                  <w:rFonts w:ascii="Georgia" w:eastAsia="Times New Roman" w:hAnsi="Georgia" w:cs="Arial"/>
                                  <w:b/>
                                  <w:bCs/>
                                  <w:color w:val="002677"/>
                                  <w:kern w:val="36"/>
                                  <w:sz w:val="42"/>
                                  <w:szCs w:val="42"/>
                                </w:rPr>
                                <w:t>Support for those affected by recent tornadoes</w:t>
                              </w:r>
                            </w:p>
                            <w:p w:rsidR="00E24A9F" w:rsidRPr="00E24A9F" w:rsidRDefault="00E24A9F" w:rsidP="00E24A9F">
                              <w:pPr>
                                <w:spacing w:after="225" w:line="420" w:lineRule="atLeast"/>
                                <w:outlineLvl w:val="1"/>
                                <w:rPr>
                                  <w:rFonts w:ascii="Arial" w:eastAsia="Times New Roman" w:hAnsi="Arial" w:cs="Arial"/>
                                  <w:color w:val="002677"/>
                                  <w:sz w:val="36"/>
                                  <w:szCs w:val="36"/>
                                </w:rPr>
                              </w:pPr>
                              <w:r w:rsidRPr="00E24A9F">
                                <w:rPr>
                                  <w:rFonts w:ascii="Arial" w:eastAsia="Times New Roman" w:hAnsi="Arial" w:cs="Arial"/>
                                  <w:color w:val="002677"/>
                                  <w:sz w:val="36"/>
                                  <w:szCs w:val="36"/>
                                </w:rPr>
                                <w:t>UnitedHealthcare is taking the following actions to help those affected by severe weather.</w:t>
                              </w:r>
                            </w:p>
                            <w:p w:rsidR="00E24A9F" w:rsidRPr="00E24A9F" w:rsidRDefault="00E24A9F" w:rsidP="00E24A9F">
                              <w:pPr>
                                <w:spacing w:after="300" w:line="300" w:lineRule="atLeast"/>
                                <w:rPr>
                                  <w:rFonts w:ascii="Arial" w:eastAsia="Calibri" w:hAnsi="Arial" w:cs="Arial"/>
                                  <w:color w:val="444444"/>
                                  <w:sz w:val="21"/>
                                  <w:szCs w:val="21"/>
                                </w:rPr>
                              </w:pPr>
                              <w:r w:rsidRPr="00E24A9F">
                                <w:rPr>
                                  <w:rFonts w:ascii="Arial" w:eastAsia="Calibri" w:hAnsi="Arial" w:cs="Arial"/>
                                  <w:color w:val="444444"/>
                                  <w:sz w:val="21"/>
                                  <w:szCs w:val="21"/>
                                </w:rPr>
                                <w:t>Our priority is making sure people have immediate and easy access to the care they need while supporting you and your practice.</w:t>
                              </w:r>
                              <w:r w:rsidRPr="00E24A9F">
                                <w:rPr>
                                  <w:rFonts w:ascii="Arial" w:eastAsia="Calibri" w:hAnsi="Arial" w:cs="Arial"/>
                                  <w:color w:val="444444"/>
                                  <w:sz w:val="21"/>
                                  <w:szCs w:val="21"/>
                                </w:rPr>
                                <w:br/>
                              </w:r>
                              <w:r w:rsidRPr="00E24A9F">
                                <w:rPr>
                                  <w:rFonts w:ascii="Arial" w:eastAsia="Calibri" w:hAnsi="Arial" w:cs="Arial"/>
                                  <w:color w:val="444444"/>
                                  <w:sz w:val="21"/>
                                  <w:szCs w:val="21"/>
                                </w:rPr>
                                <w:br/>
                                <w:t>These measures are effective for those enrolled in UnitedHealthcare</w:t>
                              </w:r>
                              <w:r w:rsidRPr="00E24A9F">
                                <w:rPr>
                                  <w:rFonts w:ascii="Arial" w:eastAsia="Calibri" w:hAnsi="Arial" w:cs="Arial"/>
                                  <w:color w:val="444444"/>
                                  <w:sz w:val="21"/>
                                  <w:szCs w:val="21"/>
                                  <w:vertAlign w:val="superscript"/>
                                </w:rPr>
                                <w:t>®</w:t>
                              </w:r>
                              <w:r w:rsidRPr="00E24A9F">
                                <w:rPr>
                                  <w:rFonts w:ascii="Arial" w:eastAsia="Calibri" w:hAnsi="Arial" w:cs="Arial"/>
                                  <w:color w:val="444444"/>
                                  <w:sz w:val="21"/>
                                  <w:szCs w:val="21"/>
                                </w:rPr>
                                <w:t xml:space="preserve"> Medicare Advantage and Individual and Group Market fully insured health plans, unless otherwise noted. Dates subject to change. Measures for UnitedHealthcare Community Plan of Kentucky (Medicaid) members may be different than those listed. We’ll follow state direction and guidance.</w:t>
                              </w:r>
                              <w:r w:rsidRPr="00E24A9F">
                                <w:rPr>
                                  <w:rFonts w:ascii="Arial" w:eastAsia="Calibri" w:hAnsi="Arial" w:cs="Arial"/>
                                  <w:color w:val="444444"/>
                                  <w:sz w:val="21"/>
                                  <w:szCs w:val="21"/>
                                </w:rPr>
                                <w:br/>
                              </w:r>
                              <w:r w:rsidRPr="00E24A9F">
                                <w:rPr>
                                  <w:rFonts w:ascii="Arial" w:eastAsia="Calibri" w:hAnsi="Arial" w:cs="Arial"/>
                                  <w:color w:val="444444"/>
                                  <w:sz w:val="21"/>
                                  <w:szCs w:val="21"/>
                                </w:rPr>
                                <w:br/>
                              </w:r>
                              <w:r w:rsidRPr="00E24A9F">
                                <w:rPr>
                                  <w:rFonts w:ascii="Arial" w:eastAsia="Calibri" w:hAnsi="Arial" w:cs="Arial"/>
                                  <w:b/>
                                  <w:bCs/>
                                  <w:color w:val="444444"/>
                                  <w:sz w:val="21"/>
                                  <w:szCs w:val="21"/>
                                </w:rPr>
                                <w:t>Kentucky, as noted, effective for dates of service from Dec. 11 through Dec. 27, 2021 or as noted:</w:t>
                              </w:r>
                              <w:r w:rsidRPr="00E24A9F">
                                <w:rPr>
                                  <w:rFonts w:ascii="Arial" w:eastAsia="Calibri" w:hAnsi="Arial" w:cs="Arial"/>
                                  <w:color w:val="444444"/>
                                  <w:sz w:val="21"/>
                                  <w:szCs w:val="21"/>
                                </w:rPr>
                                <w:t xml:space="preserve"> Breckinridge, Bullitt, Caldwell, Fulton, Graves, Grayson, Hickman, Hopkins, Lyon, Marshall, Meade, Muhlenberg, Ohio, Shelby, Spencer, Taylor, and Warren Counties</w:t>
                              </w:r>
                            </w:p>
                            <w:p w:rsidR="00E24A9F" w:rsidRPr="00E24A9F" w:rsidRDefault="00E24A9F" w:rsidP="00E24A9F">
                              <w:pPr>
                                <w:numPr>
                                  <w:ilvl w:val="0"/>
                                  <w:numId w:val="1"/>
                                </w:numPr>
                                <w:spacing w:before="100" w:beforeAutospacing="1" w:after="100" w:afterAutospacing="1" w:line="300" w:lineRule="atLeast"/>
                                <w:rPr>
                                  <w:rFonts w:ascii="Arial" w:eastAsia="Times New Roman" w:hAnsi="Arial" w:cs="Arial"/>
                                  <w:color w:val="444444"/>
                                  <w:sz w:val="21"/>
                                  <w:szCs w:val="21"/>
                                </w:rPr>
                              </w:pPr>
                              <w:r w:rsidRPr="00E24A9F">
                                <w:rPr>
                                  <w:rFonts w:ascii="Arial" w:eastAsia="Times New Roman" w:hAnsi="Arial" w:cs="Arial"/>
                                  <w:b/>
                                  <w:bCs/>
                                  <w:color w:val="444444"/>
                                  <w:sz w:val="21"/>
                                  <w:szCs w:val="21"/>
                                </w:rPr>
                                <w:t>Accessing care out of network:</w:t>
                              </w:r>
                              <w:r w:rsidRPr="00E24A9F">
                                <w:rPr>
                                  <w:rFonts w:ascii="Arial" w:eastAsia="Times New Roman" w:hAnsi="Arial" w:cs="Arial"/>
                                  <w:color w:val="444444"/>
                                  <w:sz w:val="21"/>
                                  <w:szCs w:val="21"/>
                                </w:rPr>
                                <w:t xml:space="preserve"> Members who may have been displaced from their homes or whose network health care professional or medical facility is inaccessible can call the number on their ID card for assistance. If network care isn’t available, members will be permitted to access out-of-network care, and it will be covered at </w:t>
                              </w:r>
                              <w:proofErr w:type="gramStart"/>
                              <w:r w:rsidRPr="00E24A9F">
                                <w:rPr>
                                  <w:rFonts w:ascii="Arial" w:eastAsia="Times New Roman" w:hAnsi="Arial" w:cs="Arial"/>
                                  <w:color w:val="444444"/>
                                  <w:sz w:val="21"/>
                                  <w:szCs w:val="21"/>
                                </w:rPr>
                                <w:t>their</w:t>
                              </w:r>
                              <w:proofErr w:type="gramEnd"/>
                              <w:r w:rsidRPr="00E24A9F">
                                <w:rPr>
                                  <w:rFonts w:ascii="Arial" w:eastAsia="Times New Roman" w:hAnsi="Arial" w:cs="Arial"/>
                                  <w:color w:val="444444"/>
                                  <w:sz w:val="21"/>
                                  <w:szCs w:val="21"/>
                                </w:rPr>
                                <w:t xml:space="preserve"> in-network coinsurance/copay level.</w:t>
                              </w:r>
                            </w:p>
                            <w:p w:rsidR="00E24A9F" w:rsidRPr="00E24A9F" w:rsidRDefault="00E24A9F" w:rsidP="00E24A9F">
                              <w:pPr>
                                <w:numPr>
                                  <w:ilvl w:val="0"/>
                                  <w:numId w:val="1"/>
                                </w:numPr>
                                <w:spacing w:before="100" w:beforeAutospacing="1" w:after="100" w:afterAutospacing="1" w:line="300" w:lineRule="atLeast"/>
                                <w:rPr>
                                  <w:rFonts w:ascii="Arial" w:eastAsia="Times New Roman" w:hAnsi="Arial" w:cs="Arial"/>
                                  <w:color w:val="444444"/>
                                  <w:sz w:val="21"/>
                                  <w:szCs w:val="21"/>
                                </w:rPr>
                              </w:pPr>
                              <w:r w:rsidRPr="00E24A9F">
                                <w:rPr>
                                  <w:rFonts w:ascii="Arial" w:eastAsia="Times New Roman" w:hAnsi="Arial" w:cs="Arial"/>
                                  <w:b/>
                                  <w:bCs/>
                                  <w:color w:val="444444"/>
                                  <w:sz w:val="21"/>
                                  <w:szCs w:val="21"/>
                                </w:rPr>
                                <w:t>Prior authorization, notification and referrals:</w:t>
                              </w:r>
                              <w:r w:rsidRPr="00E24A9F">
                                <w:rPr>
                                  <w:rFonts w:ascii="Arial" w:eastAsia="Times New Roman" w:hAnsi="Arial" w:cs="Arial"/>
                                  <w:color w:val="444444"/>
                                  <w:sz w:val="21"/>
                                  <w:szCs w:val="21"/>
                                </w:rPr>
                                <w:t xml:space="preserve"> UnitedHealthcare will not apply penalties for failure to request prior authorization, notification and referrals for needed, new medical treatments based on the member’s benefits.</w:t>
                              </w:r>
                            </w:p>
                            <w:p w:rsidR="00E24A9F" w:rsidRPr="00E24A9F" w:rsidRDefault="00E24A9F" w:rsidP="00E24A9F">
                              <w:pPr>
                                <w:numPr>
                                  <w:ilvl w:val="0"/>
                                  <w:numId w:val="1"/>
                                </w:numPr>
                                <w:spacing w:before="100" w:beforeAutospacing="1" w:after="100" w:afterAutospacing="1" w:line="300" w:lineRule="atLeast"/>
                                <w:rPr>
                                  <w:rFonts w:ascii="Arial" w:eastAsia="Times New Roman" w:hAnsi="Arial" w:cs="Arial"/>
                                  <w:color w:val="444444"/>
                                  <w:sz w:val="21"/>
                                  <w:szCs w:val="21"/>
                                </w:rPr>
                              </w:pPr>
                              <w:r w:rsidRPr="00E24A9F">
                                <w:rPr>
                                  <w:rFonts w:ascii="Arial" w:eastAsia="Times New Roman" w:hAnsi="Arial" w:cs="Arial"/>
                                  <w:b/>
                                  <w:bCs/>
                                  <w:color w:val="444444"/>
                                  <w:sz w:val="21"/>
                                  <w:szCs w:val="21"/>
                                </w:rPr>
                                <w:t>Durable medical equipment and supplies:</w:t>
                              </w:r>
                              <w:r w:rsidRPr="00E24A9F">
                                <w:rPr>
                                  <w:rFonts w:ascii="Arial" w:eastAsia="Times New Roman" w:hAnsi="Arial" w:cs="Arial"/>
                                  <w:color w:val="444444"/>
                                  <w:sz w:val="21"/>
                                  <w:szCs w:val="21"/>
                                </w:rPr>
                                <w:t xml:space="preserve"> Members with coverage for durable medical equipment may replace items that may have been lost or damaged because of the tornadoes (includes eyeglasses, dentures and hearing aids). Standard copays and deductibles apply.</w:t>
                              </w:r>
                            </w:p>
                            <w:p w:rsidR="00E24A9F" w:rsidRPr="00E24A9F" w:rsidRDefault="00E24A9F" w:rsidP="00E24A9F">
                              <w:pPr>
                                <w:numPr>
                                  <w:ilvl w:val="0"/>
                                  <w:numId w:val="1"/>
                                </w:numPr>
                                <w:spacing w:before="100" w:beforeAutospacing="1" w:after="100" w:afterAutospacing="1" w:line="300" w:lineRule="atLeast"/>
                                <w:rPr>
                                  <w:rFonts w:ascii="Arial" w:eastAsia="Times New Roman" w:hAnsi="Arial" w:cs="Arial"/>
                                  <w:color w:val="444444"/>
                                  <w:sz w:val="21"/>
                                  <w:szCs w:val="21"/>
                                </w:rPr>
                              </w:pPr>
                              <w:r w:rsidRPr="00E24A9F">
                                <w:rPr>
                                  <w:rFonts w:ascii="Arial" w:eastAsia="Times New Roman" w:hAnsi="Arial" w:cs="Arial"/>
                                  <w:b/>
                                  <w:bCs/>
                                  <w:color w:val="444444"/>
                                  <w:sz w:val="21"/>
                                  <w:szCs w:val="21"/>
                                </w:rPr>
                                <w:t>Early prescription refills:</w:t>
                              </w:r>
                              <w:r w:rsidRPr="00E24A9F">
                                <w:rPr>
                                  <w:rFonts w:ascii="Arial" w:eastAsia="Times New Roman" w:hAnsi="Arial" w:cs="Arial"/>
                                  <w:color w:val="444444"/>
                                  <w:sz w:val="21"/>
                                  <w:szCs w:val="21"/>
                                </w:rPr>
                                <w:t xml:space="preserve"> Members who are affected can also fill existing prescriptions early (1 time, up to a 90-day refill) through direct pharmacy or mail </w:t>
                              </w:r>
                              <w:r w:rsidRPr="00E24A9F">
                                <w:rPr>
                                  <w:rFonts w:ascii="Arial" w:eastAsia="Times New Roman" w:hAnsi="Arial" w:cs="Arial"/>
                                  <w:color w:val="444444"/>
                                  <w:sz w:val="21"/>
                                  <w:szCs w:val="21"/>
                                </w:rPr>
                                <w:lastRenderedPageBreak/>
                                <w:t>order. Members should call the pharmacy number on their ID card, or speak directly to a pharmacist about their situation, to get an early refill.</w:t>
                              </w:r>
                            </w:p>
                            <w:p w:rsidR="00E24A9F" w:rsidRPr="00E24A9F" w:rsidRDefault="00E24A9F" w:rsidP="00E24A9F">
                              <w:pPr>
                                <w:numPr>
                                  <w:ilvl w:val="1"/>
                                  <w:numId w:val="1"/>
                                </w:numPr>
                                <w:spacing w:before="100" w:beforeAutospacing="1" w:after="100" w:afterAutospacing="1" w:line="300" w:lineRule="atLeast"/>
                                <w:rPr>
                                  <w:rFonts w:ascii="Arial" w:eastAsia="Times New Roman" w:hAnsi="Arial" w:cs="Arial"/>
                                  <w:color w:val="444444"/>
                                  <w:sz w:val="21"/>
                                  <w:szCs w:val="21"/>
                                </w:rPr>
                              </w:pPr>
                              <w:r w:rsidRPr="00E24A9F">
                                <w:rPr>
                                  <w:rFonts w:ascii="Arial" w:eastAsia="Times New Roman" w:hAnsi="Arial" w:cs="Arial"/>
                                  <w:b/>
                                  <w:bCs/>
                                  <w:color w:val="444444"/>
                                  <w:sz w:val="21"/>
                                  <w:szCs w:val="21"/>
                                </w:rPr>
                                <w:t>From Dec. 11 through Jan. 10, 2021:</w:t>
                              </w:r>
                              <w:r w:rsidRPr="00E24A9F">
                                <w:rPr>
                                  <w:rFonts w:ascii="Arial" w:eastAsia="Times New Roman" w:hAnsi="Arial" w:cs="Arial"/>
                                  <w:color w:val="444444"/>
                                  <w:sz w:val="21"/>
                                  <w:szCs w:val="21"/>
                                </w:rPr>
                                <w:t xml:space="preserve"> Medicare Advantage and Individual and Group Market fully insured health plan members statewide</w:t>
                              </w:r>
                            </w:p>
                            <w:p w:rsidR="00E24A9F" w:rsidRPr="00E24A9F" w:rsidRDefault="00E24A9F" w:rsidP="00E24A9F">
                              <w:pPr>
                                <w:numPr>
                                  <w:ilvl w:val="1"/>
                                  <w:numId w:val="1"/>
                                </w:numPr>
                                <w:spacing w:before="100" w:beforeAutospacing="1" w:after="100" w:afterAutospacing="1" w:line="300" w:lineRule="atLeast"/>
                                <w:rPr>
                                  <w:rFonts w:ascii="Arial" w:eastAsia="Times New Roman" w:hAnsi="Arial" w:cs="Arial"/>
                                  <w:color w:val="444444"/>
                                  <w:sz w:val="21"/>
                                  <w:szCs w:val="21"/>
                                </w:rPr>
                              </w:pPr>
                              <w:r w:rsidRPr="00E24A9F">
                                <w:rPr>
                                  <w:rFonts w:ascii="Arial" w:eastAsia="Times New Roman" w:hAnsi="Arial" w:cs="Arial"/>
                                  <w:b/>
                                  <w:bCs/>
                                  <w:color w:val="444444"/>
                                  <w:sz w:val="21"/>
                                  <w:szCs w:val="21"/>
                                </w:rPr>
                                <w:t>Beginning Dec. 11 at the direction of the Kentucky Department of Medicaid Services (KDMS):</w:t>
                              </w:r>
                              <w:r w:rsidRPr="00E24A9F">
                                <w:rPr>
                                  <w:rFonts w:ascii="Arial" w:eastAsia="Times New Roman" w:hAnsi="Arial" w:cs="Arial"/>
                                  <w:color w:val="444444"/>
                                  <w:sz w:val="21"/>
                                  <w:szCs w:val="21"/>
                                </w:rPr>
                                <w:t xml:space="preserve"> For UnitedHealthcare Community Plan of Kentucky (Medicaid) members, pharmacy providers can override claims denials for early refills. Please call the </w:t>
                              </w:r>
                              <w:proofErr w:type="spellStart"/>
                              <w:r w:rsidRPr="00E24A9F">
                                <w:rPr>
                                  <w:rFonts w:ascii="Arial" w:eastAsia="Times New Roman" w:hAnsi="Arial" w:cs="Arial"/>
                                  <w:color w:val="444444"/>
                                  <w:sz w:val="21"/>
                                  <w:szCs w:val="21"/>
                                </w:rPr>
                                <w:t>MedImpact</w:t>
                              </w:r>
                              <w:proofErr w:type="spellEnd"/>
                              <w:r w:rsidRPr="00E24A9F">
                                <w:rPr>
                                  <w:rFonts w:ascii="Arial" w:eastAsia="Times New Roman" w:hAnsi="Arial" w:cs="Arial"/>
                                  <w:color w:val="444444"/>
                                  <w:sz w:val="21"/>
                                  <w:szCs w:val="21"/>
                                </w:rPr>
                                <w:t xml:space="preserve"> Pharmacy Help Desk at 800-210-7628 if you have questions.</w:t>
                              </w:r>
                            </w:p>
                            <w:p w:rsidR="00E24A9F" w:rsidRPr="00E24A9F" w:rsidRDefault="00E24A9F" w:rsidP="00E24A9F">
                              <w:pPr>
                                <w:numPr>
                                  <w:ilvl w:val="2"/>
                                  <w:numId w:val="1"/>
                                </w:numPr>
                                <w:spacing w:before="100" w:beforeAutospacing="1" w:after="100" w:afterAutospacing="1" w:line="300" w:lineRule="atLeast"/>
                                <w:rPr>
                                  <w:rFonts w:ascii="Arial" w:eastAsia="Times New Roman" w:hAnsi="Arial" w:cs="Arial"/>
                                  <w:color w:val="444444"/>
                                  <w:sz w:val="21"/>
                                  <w:szCs w:val="21"/>
                                </w:rPr>
                              </w:pPr>
                              <w:r w:rsidRPr="00E24A9F">
                                <w:rPr>
                                  <w:rFonts w:ascii="Arial" w:eastAsia="Times New Roman" w:hAnsi="Arial" w:cs="Arial"/>
                                  <w:color w:val="444444"/>
                                  <w:sz w:val="21"/>
                                  <w:szCs w:val="21"/>
                                </w:rPr>
                                <w:t>UnitedHealthcare Community Plan of Kentucky members residing in Caldwell, Fulton, Graves, Hancock, Hickman, Hopkins, Lyon, Marshall, Muhlenberg, Ohio and Warren Counties</w:t>
                              </w:r>
                            </w:p>
                            <w:p w:rsidR="00E24A9F" w:rsidRPr="00E24A9F" w:rsidRDefault="00E24A9F" w:rsidP="00E24A9F">
                              <w:pPr>
                                <w:numPr>
                                  <w:ilvl w:val="0"/>
                                  <w:numId w:val="1"/>
                                </w:numPr>
                                <w:spacing w:before="100" w:beforeAutospacing="1" w:after="100" w:afterAutospacing="1" w:line="300" w:lineRule="atLeast"/>
                                <w:rPr>
                                  <w:rFonts w:ascii="Arial" w:eastAsia="Times New Roman" w:hAnsi="Arial" w:cs="Arial"/>
                                  <w:color w:val="444444"/>
                                  <w:sz w:val="21"/>
                                  <w:szCs w:val="21"/>
                                </w:rPr>
                              </w:pPr>
                              <w:r w:rsidRPr="00E24A9F">
                                <w:rPr>
                                  <w:rFonts w:ascii="Arial" w:eastAsia="Times New Roman" w:hAnsi="Arial" w:cs="Arial"/>
                                  <w:b/>
                                  <w:bCs/>
                                  <w:color w:val="444444"/>
                                  <w:sz w:val="21"/>
                                  <w:szCs w:val="21"/>
                                </w:rPr>
                                <w:t>UnitedHealthcare Medicare Advantage members:</w:t>
                              </w:r>
                              <w:r w:rsidRPr="00E24A9F">
                                <w:rPr>
                                  <w:rFonts w:ascii="Arial" w:eastAsia="Times New Roman" w:hAnsi="Arial" w:cs="Arial"/>
                                  <w:color w:val="444444"/>
                                  <w:sz w:val="21"/>
                                  <w:szCs w:val="21"/>
                                </w:rPr>
                                <w:t xml:space="preserve"> For members, we have made the following provisions to meet the Centers for Medicare &amp; Medicaid Services (CMS) requirements (already in effect during the </w:t>
                              </w:r>
                              <w:hyperlink r:id="rId7" w:history="1">
                                <w:r w:rsidRPr="00E24A9F">
                                  <w:rPr>
                                    <w:rFonts w:ascii="Arial" w:eastAsia="Times New Roman" w:hAnsi="Arial" w:cs="Arial"/>
                                    <w:b/>
                                    <w:bCs/>
                                    <w:color w:val="196ECF"/>
                                    <w:sz w:val="21"/>
                                    <w:szCs w:val="21"/>
                                    <w:u w:val="single"/>
                                  </w:rPr>
                                  <w:t>COVID-19 national public health emergency</w:t>
                                </w:r>
                              </w:hyperlink>
                              <w:r w:rsidRPr="00E24A9F">
                                <w:rPr>
                                  <w:rFonts w:ascii="Arial" w:eastAsia="Times New Roman" w:hAnsi="Arial" w:cs="Arial"/>
                                  <w:color w:val="444444"/>
                                  <w:sz w:val="21"/>
                                  <w:szCs w:val="21"/>
                                </w:rPr>
                                <w:t xml:space="preserve">): </w:t>
                              </w:r>
                            </w:p>
                            <w:p w:rsidR="00E24A9F" w:rsidRPr="00E24A9F" w:rsidRDefault="00E24A9F" w:rsidP="00E24A9F">
                              <w:pPr>
                                <w:numPr>
                                  <w:ilvl w:val="1"/>
                                  <w:numId w:val="1"/>
                                </w:numPr>
                                <w:spacing w:before="100" w:beforeAutospacing="1" w:after="100" w:afterAutospacing="1" w:line="300" w:lineRule="atLeast"/>
                                <w:rPr>
                                  <w:rFonts w:ascii="Arial" w:eastAsia="Times New Roman" w:hAnsi="Arial" w:cs="Arial"/>
                                  <w:color w:val="444444"/>
                                  <w:sz w:val="21"/>
                                  <w:szCs w:val="21"/>
                                </w:rPr>
                              </w:pPr>
                              <w:r w:rsidRPr="00E24A9F">
                                <w:rPr>
                                  <w:rFonts w:ascii="Arial" w:eastAsia="Times New Roman" w:hAnsi="Arial" w:cs="Arial"/>
                                  <w:color w:val="444444"/>
                                  <w:sz w:val="21"/>
                                  <w:szCs w:val="21"/>
                                </w:rPr>
                                <w:t>Allow Part A and Part B and supplemental Part C plan benefits to be furnished at specified non-contracted facilities (note that Part A and Part B benefits must, per 42 CFR §422.204(b)(3), be furnished at Medicare-certified facilities)</w:t>
                              </w:r>
                            </w:p>
                            <w:p w:rsidR="00E24A9F" w:rsidRPr="00E24A9F" w:rsidRDefault="00E24A9F" w:rsidP="00E24A9F">
                              <w:pPr>
                                <w:numPr>
                                  <w:ilvl w:val="1"/>
                                  <w:numId w:val="1"/>
                                </w:numPr>
                                <w:spacing w:before="100" w:beforeAutospacing="1" w:after="100" w:afterAutospacing="1" w:line="300" w:lineRule="atLeast"/>
                                <w:rPr>
                                  <w:rFonts w:ascii="Arial" w:eastAsia="Times New Roman" w:hAnsi="Arial" w:cs="Arial"/>
                                  <w:color w:val="444444"/>
                                  <w:sz w:val="21"/>
                                  <w:szCs w:val="21"/>
                                </w:rPr>
                              </w:pPr>
                              <w:r w:rsidRPr="00E24A9F">
                                <w:rPr>
                                  <w:rFonts w:ascii="Arial" w:eastAsia="Times New Roman" w:hAnsi="Arial" w:cs="Arial"/>
                                  <w:color w:val="444444"/>
                                  <w:sz w:val="21"/>
                                  <w:szCs w:val="21"/>
                                </w:rPr>
                                <w:t>Waive in full requirements for gatekeeper referrals, where applicable</w:t>
                              </w:r>
                            </w:p>
                            <w:p w:rsidR="00E24A9F" w:rsidRPr="00E24A9F" w:rsidRDefault="00E24A9F" w:rsidP="00E24A9F">
                              <w:pPr>
                                <w:numPr>
                                  <w:ilvl w:val="1"/>
                                  <w:numId w:val="1"/>
                                </w:numPr>
                                <w:spacing w:before="100" w:beforeAutospacing="1" w:after="100" w:afterAutospacing="1" w:line="300" w:lineRule="atLeast"/>
                                <w:rPr>
                                  <w:rFonts w:ascii="Arial" w:eastAsia="Times New Roman" w:hAnsi="Arial" w:cs="Arial"/>
                                  <w:color w:val="444444"/>
                                  <w:sz w:val="21"/>
                                  <w:szCs w:val="21"/>
                                </w:rPr>
                              </w:pPr>
                              <w:r w:rsidRPr="00E24A9F">
                                <w:rPr>
                                  <w:rFonts w:ascii="Arial" w:eastAsia="Times New Roman" w:hAnsi="Arial" w:cs="Arial"/>
                                  <w:color w:val="444444"/>
                                  <w:sz w:val="21"/>
                                  <w:szCs w:val="21"/>
                                </w:rPr>
                                <w:t>Temporarily reduce plan-approved, out-of-network cost-sharing to in-network cost-sharing amounts</w:t>
                              </w:r>
                            </w:p>
                            <w:p w:rsidR="00E24A9F" w:rsidRPr="00E24A9F" w:rsidRDefault="00E24A9F" w:rsidP="00E24A9F">
                              <w:pPr>
                                <w:numPr>
                                  <w:ilvl w:val="1"/>
                                  <w:numId w:val="1"/>
                                </w:numPr>
                                <w:spacing w:before="100" w:beforeAutospacing="1" w:after="100" w:afterAutospacing="1" w:line="300" w:lineRule="atLeast"/>
                                <w:rPr>
                                  <w:rFonts w:ascii="Arial" w:eastAsia="Times New Roman" w:hAnsi="Arial" w:cs="Arial"/>
                                  <w:color w:val="444444"/>
                                  <w:sz w:val="21"/>
                                  <w:szCs w:val="21"/>
                                </w:rPr>
                              </w:pPr>
                              <w:r w:rsidRPr="00E24A9F">
                                <w:rPr>
                                  <w:rFonts w:ascii="Arial" w:eastAsia="Times New Roman" w:hAnsi="Arial" w:cs="Arial"/>
                                  <w:color w:val="444444"/>
                                  <w:sz w:val="21"/>
                                  <w:szCs w:val="21"/>
                                </w:rPr>
                                <w:t>Waive the 30-day notification requirement to enrollees as long as all of the changes (such as reduction of cost sharing and waiving authorization) benefit the enrollee</w:t>
                              </w:r>
                            </w:p>
                          </w:tc>
                        </w:tr>
                      </w:tbl>
                      <w:p w:rsidR="00E24A9F" w:rsidRPr="00E24A9F" w:rsidRDefault="00E24A9F" w:rsidP="00E24A9F">
                        <w:pPr>
                          <w:spacing w:after="0" w:line="240" w:lineRule="auto"/>
                          <w:jc w:val="center"/>
                          <w:rPr>
                            <w:rFonts w:ascii="Times New Roman" w:eastAsia="Times New Roman" w:hAnsi="Times New Roman" w:cs="Times New Roman"/>
                            <w:sz w:val="20"/>
                            <w:szCs w:val="20"/>
                          </w:rPr>
                        </w:pPr>
                      </w:p>
                    </w:tc>
                  </w:tr>
                  <w:tr w:rsidR="00E24A9F" w:rsidRPr="00E24A9F">
                    <w:trPr>
                      <w:jc w:val="center"/>
                    </w:trPr>
                    <w:tc>
                      <w:tcPr>
                        <w:tcW w:w="0" w:type="auto"/>
                        <w:shd w:val="clear" w:color="auto" w:fill="E5F8FB"/>
                        <w:vAlign w:val="center"/>
                        <w:hideMark/>
                      </w:tcPr>
                      <w:tbl>
                        <w:tblPr>
                          <w:tblW w:w="8850" w:type="dxa"/>
                          <w:jc w:val="center"/>
                          <w:tblCellMar>
                            <w:left w:w="0" w:type="dxa"/>
                            <w:right w:w="0" w:type="dxa"/>
                          </w:tblCellMar>
                          <w:tblLook w:val="04A0" w:firstRow="1" w:lastRow="0" w:firstColumn="1" w:lastColumn="0" w:noHBand="0" w:noVBand="1"/>
                        </w:tblPr>
                        <w:tblGrid>
                          <w:gridCol w:w="1035"/>
                          <w:gridCol w:w="7815"/>
                        </w:tblGrid>
                        <w:tr w:rsidR="00E24A9F" w:rsidRPr="00E24A9F">
                          <w:trPr>
                            <w:jc w:val="center"/>
                          </w:trPr>
                          <w:tc>
                            <w:tcPr>
                              <w:tcW w:w="960" w:type="dxa"/>
                              <w:tcMar>
                                <w:top w:w="375" w:type="dxa"/>
                                <w:left w:w="75" w:type="dxa"/>
                                <w:bottom w:w="375" w:type="dxa"/>
                                <w:right w:w="0" w:type="dxa"/>
                              </w:tcMar>
                              <w:hideMark/>
                            </w:tcPr>
                            <w:p w:rsidR="00E24A9F" w:rsidRPr="00E24A9F" w:rsidRDefault="00E24A9F" w:rsidP="00E24A9F">
                              <w:pPr>
                                <w:spacing w:after="0" w:line="300" w:lineRule="atLeast"/>
                                <w:rPr>
                                  <w:rFonts w:ascii="Times New Roman" w:eastAsia="Times New Roman" w:hAnsi="Times New Roman" w:cs="Times New Roman"/>
                                  <w:sz w:val="24"/>
                                  <w:szCs w:val="24"/>
                                </w:rPr>
                              </w:pPr>
                              <w:r w:rsidRPr="00E24A9F">
                                <w:rPr>
                                  <w:rFonts w:ascii="Times New Roman" w:eastAsia="Times New Roman" w:hAnsi="Times New Roman" w:cs="Times New Roman"/>
                                  <w:noProof/>
                                  <w:sz w:val="24"/>
                                  <w:szCs w:val="24"/>
                                </w:rPr>
                                <w:lastRenderedPageBreak/>
                                <w:drawing>
                                  <wp:inline distT="0" distB="0" distL="0" distR="0" wp14:anchorId="3D8B9F8F" wp14:editId="31D0BEA3">
                                    <wp:extent cx="609600" cy="609600"/>
                                    <wp:effectExtent l="0" t="0" r="0" b="0"/>
                                    <wp:docPr id="2" name="Picture 2" descr="https://image.benefits.unitedhealthcare.com/lib/fe631570726c05787512/m/12/152d24bd-d7cd-49d2-81dd-c0d9ba8c85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benefits.unitedhealthcare.com/lib/fe631570726c05787512/m/12/152d24bd-d7cd-49d2-81dd-c0d9ba8c85a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tcMar>
                                <w:top w:w="375" w:type="dxa"/>
                                <w:left w:w="300" w:type="dxa"/>
                                <w:bottom w:w="375" w:type="dxa"/>
                                <w:right w:w="75" w:type="dxa"/>
                              </w:tcMar>
                              <w:hideMark/>
                            </w:tcPr>
                            <w:p w:rsidR="00E24A9F" w:rsidRPr="00E24A9F" w:rsidRDefault="00E24A9F" w:rsidP="00E24A9F">
                              <w:pPr>
                                <w:spacing w:before="75" w:after="150" w:line="450" w:lineRule="atLeast"/>
                                <w:outlineLvl w:val="1"/>
                                <w:rPr>
                                  <w:rFonts w:ascii="Arial" w:eastAsia="Times New Roman" w:hAnsi="Arial" w:cs="Arial"/>
                                  <w:color w:val="002677"/>
                                  <w:sz w:val="36"/>
                                  <w:szCs w:val="36"/>
                                </w:rPr>
                              </w:pPr>
                              <w:r w:rsidRPr="00E24A9F">
                                <w:rPr>
                                  <w:rFonts w:ascii="Arial" w:eastAsia="Times New Roman" w:hAnsi="Arial" w:cs="Arial"/>
                                  <w:color w:val="002677"/>
                                  <w:sz w:val="36"/>
                                  <w:szCs w:val="36"/>
                                </w:rPr>
                                <w:t>We're here to help</w:t>
                              </w:r>
                            </w:p>
                            <w:p w:rsidR="00E24A9F" w:rsidRPr="00E24A9F" w:rsidRDefault="00E24A9F" w:rsidP="00E24A9F">
                              <w:pPr>
                                <w:spacing w:after="0" w:line="300" w:lineRule="atLeast"/>
                                <w:rPr>
                                  <w:rFonts w:ascii="Arial" w:eastAsia="Calibri" w:hAnsi="Arial" w:cs="Arial"/>
                                  <w:color w:val="444444"/>
                                  <w:sz w:val="21"/>
                                  <w:szCs w:val="21"/>
                                </w:rPr>
                              </w:pPr>
                              <w:r w:rsidRPr="00E24A9F">
                                <w:rPr>
                                  <w:rFonts w:ascii="Arial" w:eastAsia="Calibri" w:hAnsi="Arial" w:cs="Arial"/>
                                  <w:color w:val="444444"/>
                                  <w:sz w:val="21"/>
                                  <w:szCs w:val="21"/>
                                </w:rPr>
                                <w:t xml:space="preserve">If you have questions, please call the Provider Services number on the member’s ID card. For the latest updates, visit </w:t>
                              </w:r>
                              <w:hyperlink r:id="rId9" w:history="1">
                                <w:r w:rsidRPr="00E24A9F">
                                  <w:rPr>
                                    <w:rFonts w:ascii="Arial" w:eastAsia="Calibri" w:hAnsi="Arial" w:cs="Arial"/>
                                    <w:b/>
                                    <w:bCs/>
                                    <w:color w:val="196ECF"/>
                                    <w:sz w:val="21"/>
                                    <w:szCs w:val="21"/>
                                    <w:u w:val="single"/>
                                  </w:rPr>
                                  <w:t>UHCprovider.com/disaster</w:t>
                                </w:r>
                              </w:hyperlink>
                              <w:r w:rsidRPr="00E24A9F">
                                <w:rPr>
                                  <w:rFonts w:ascii="Arial" w:eastAsia="Calibri" w:hAnsi="Arial" w:cs="Arial"/>
                                  <w:color w:val="444444"/>
                                  <w:sz w:val="21"/>
                                  <w:szCs w:val="21"/>
                                </w:rPr>
                                <w:t>.</w:t>
                              </w:r>
                            </w:p>
                          </w:tc>
                        </w:tr>
                      </w:tbl>
                      <w:p w:rsidR="00E24A9F" w:rsidRPr="00E24A9F" w:rsidRDefault="00E24A9F" w:rsidP="00E24A9F">
                        <w:pPr>
                          <w:spacing w:after="0" w:line="240" w:lineRule="auto"/>
                          <w:jc w:val="center"/>
                          <w:rPr>
                            <w:rFonts w:ascii="Times New Roman" w:eastAsia="Times New Roman" w:hAnsi="Times New Roman" w:cs="Times New Roman"/>
                            <w:sz w:val="20"/>
                            <w:szCs w:val="20"/>
                          </w:rPr>
                        </w:pPr>
                      </w:p>
                    </w:tc>
                  </w:tr>
                  <w:tr w:rsidR="00E24A9F" w:rsidRPr="00E24A9F">
                    <w:trPr>
                      <w:jc w:val="center"/>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E24A9F" w:rsidRPr="00E24A9F">
                          <w:trPr>
                            <w:jc w:val="center"/>
                          </w:trPr>
                          <w:tc>
                            <w:tcPr>
                              <w:tcW w:w="0" w:type="auto"/>
                              <w:tcMar>
                                <w:top w:w="300" w:type="dxa"/>
                                <w:left w:w="150" w:type="dxa"/>
                                <w:bottom w:w="450" w:type="dxa"/>
                                <w:right w:w="150" w:type="dxa"/>
                              </w:tcMar>
                              <w:hideMark/>
                            </w:tcPr>
                            <w:p w:rsidR="00E24A9F" w:rsidRPr="00E24A9F" w:rsidRDefault="00E24A9F" w:rsidP="00E24A9F">
                              <w:pPr>
                                <w:spacing w:before="100" w:beforeAutospacing="1" w:after="100" w:afterAutospacing="1" w:line="270" w:lineRule="atLeast"/>
                                <w:rPr>
                                  <w:rFonts w:ascii="Arial" w:eastAsia="Calibri" w:hAnsi="Arial" w:cs="Arial"/>
                                  <w:color w:val="636363"/>
                                  <w:sz w:val="17"/>
                                  <w:szCs w:val="17"/>
                                </w:rPr>
                              </w:pPr>
                              <w:r w:rsidRPr="00E24A9F">
                                <w:rPr>
                                  <w:rFonts w:ascii="Arial" w:eastAsia="Calibri" w:hAnsi="Arial" w:cs="Arial"/>
                                  <w:color w:val="636363"/>
                                  <w:sz w:val="17"/>
                                  <w:szCs w:val="17"/>
                                </w:rPr>
                                <w:t xml:space="preserve">*Affected areas, dates and measures may change. Additional benefits or limitations may apply in some states and under some plans during this time. We will adjudicate benefits in accordance with the member’s health plan. </w:t>
                              </w:r>
                              <w:r w:rsidRPr="00E24A9F">
                                <w:rPr>
                                  <w:rFonts w:ascii="Arial" w:eastAsia="Calibri" w:hAnsi="Arial" w:cs="Arial"/>
                                  <w:color w:val="636363"/>
                                  <w:sz w:val="17"/>
                                  <w:szCs w:val="17"/>
                                </w:rPr>
                                <w:br/>
                              </w:r>
                              <w:r w:rsidRPr="00E24A9F">
                                <w:rPr>
                                  <w:rFonts w:ascii="Arial" w:eastAsia="Calibri" w:hAnsi="Arial" w:cs="Arial"/>
                                  <w:color w:val="636363"/>
                                  <w:sz w:val="17"/>
                                  <w:szCs w:val="17"/>
                                </w:rPr>
                                <w:br/>
                                <w:t>Insurance coverage provided by or through UnitedHealthcare Insurance Company or its affiliates. Health plan coverage provided by UnitedHealthcare of Arizona, Inc., UHC of California DBA UnitedHealthcare of California, UnitedHealthcare Benefits Plan of California, UnitedHealthcare of Colorado, Inc., UnitedHealthcare of the Mid-</w:t>
                              </w:r>
                              <w:r w:rsidRPr="00E24A9F">
                                <w:rPr>
                                  <w:rFonts w:ascii="Arial" w:eastAsia="Calibri" w:hAnsi="Arial" w:cs="Arial"/>
                                  <w:color w:val="636363"/>
                                  <w:sz w:val="17"/>
                                  <w:szCs w:val="17"/>
                                </w:rPr>
                                <w:lastRenderedPageBreak/>
                                <w:t xml:space="preserve">Atlantic, Inc., MAMSI Life and Health Insurance Company, UnitedHealthcare of New York, Inc., UnitedHealthcare Insurance Company of New York, UnitedHealthcare of Oklahoma, Inc., UnitedHealthcare of Oregon, Inc., UnitedHealthcare of Pennsylvania, Inc., UnitedHealthcare of Texas, Inc., UnitedHealthcare Benefits of Texas, Inc., UnitedHealthcare of Utah, Inc., UnitedHealthcare of Washington, Inc., Optimum Choice, Inc., Oxford Health Insurance, Inc., Oxford Health Plans (NJ), Inc., Oxford Health Plans (CT), Inc., All Savers Insurance Company, or other affiliates. Administrative services provided by </w:t>
                              </w:r>
                              <w:proofErr w:type="spellStart"/>
                              <w:r w:rsidRPr="00E24A9F">
                                <w:rPr>
                                  <w:rFonts w:ascii="Arial" w:eastAsia="Calibri" w:hAnsi="Arial" w:cs="Arial"/>
                                  <w:color w:val="636363"/>
                                  <w:sz w:val="17"/>
                                  <w:szCs w:val="17"/>
                                </w:rPr>
                                <w:t>OptumHealth</w:t>
                              </w:r>
                              <w:proofErr w:type="spellEnd"/>
                              <w:r w:rsidRPr="00E24A9F">
                                <w:rPr>
                                  <w:rFonts w:ascii="Arial" w:eastAsia="Calibri" w:hAnsi="Arial" w:cs="Arial"/>
                                  <w:color w:val="636363"/>
                                  <w:sz w:val="17"/>
                                  <w:szCs w:val="17"/>
                                </w:rPr>
                                <w:t xml:space="preserve"> Care Solutions, LLC, </w:t>
                              </w:r>
                              <w:proofErr w:type="spellStart"/>
                              <w:r w:rsidRPr="00E24A9F">
                                <w:rPr>
                                  <w:rFonts w:ascii="Arial" w:eastAsia="Calibri" w:hAnsi="Arial" w:cs="Arial"/>
                                  <w:color w:val="636363"/>
                                  <w:sz w:val="17"/>
                                  <w:szCs w:val="17"/>
                                </w:rPr>
                                <w:t>OptumRx</w:t>
                              </w:r>
                              <w:proofErr w:type="spellEnd"/>
                              <w:r w:rsidRPr="00E24A9F">
                                <w:rPr>
                                  <w:rFonts w:ascii="Arial" w:eastAsia="Calibri" w:hAnsi="Arial" w:cs="Arial"/>
                                  <w:color w:val="636363"/>
                                  <w:sz w:val="17"/>
                                  <w:szCs w:val="17"/>
                                </w:rPr>
                                <w:t xml:space="preserve">, Oxford Health Plans LLC, United HealthCare Services, Inc., or other affiliates. Behavioral health products provided by U.S. Behavioral Health Plan, California (USBHPC), or its affiliates. </w:t>
                              </w:r>
                            </w:p>
                            <w:p w:rsidR="00E24A9F" w:rsidRPr="00E24A9F" w:rsidRDefault="00E24A9F" w:rsidP="00E24A9F">
                              <w:pPr>
                                <w:spacing w:before="100" w:beforeAutospacing="1" w:after="100" w:afterAutospacing="1" w:line="270" w:lineRule="atLeast"/>
                                <w:rPr>
                                  <w:rFonts w:ascii="Arial" w:eastAsia="Calibri" w:hAnsi="Arial" w:cs="Arial"/>
                                  <w:color w:val="636363"/>
                                  <w:sz w:val="17"/>
                                  <w:szCs w:val="17"/>
                                </w:rPr>
                              </w:pPr>
                              <w:r w:rsidRPr="00E24A9F">
                                <w:rPr>
                                  <w:rFonts w:ascii="Arial" w:eastAsia="Calibri" w:hAnsi="Arial" w:cs="Arial"/>
                                  <w:color w:val="636363"/>
                                  <w:sz w:val="17"/>
                                  <w:szCs w:val="17"/>
                                </w:rPr>
                                <w:t>PCA-1-21-04649-UHN-EM_12162021</w:t>
                              </w:r>
                            </w:p>
                            <w:p w:rsidR="00E24A9F" w:rsidRPr="00E24A9F" w:rsidRDefault="00E24A9F" w:rsidP="00E24A9F">
                              <w:pPr>
                                <w:spacing w:before="100" w:beforeAutospacing="1" w:after="100" w:afterAutospacing="1" w:line="270" w:lineRule="atLeast"/>
                                <w:rPr>
                                  <w:rFonts w:ascii="Arial" w:eastAsia="Calibri" w:hAnsi="Arial" w:cs="Arial"/>
                                  <w:color w:val="636363"/>
                                  <w:sz w:val="17"/>
                                  <w:szCs w:val="17"/>
                                </w:rPr>
                              </w:pPr>
                              <w:r w:rsidRPr="00E24A9F">
                                <w:rPr>
                                  <w:rFonts w:ascii="Arial" w:eastAsia="Calibri" w:hAnsi="Arial" w:cs="Arial"/>
                                  <w:color w:val="636363"/>
                                  <w:sz w:val="17"/>
                                  <w:szCs w:val="17"/>
                                </w:rPr>
                                <w:t>© 2021 United HealthCare Services, Inc. All Rights Reserved.</w:t>
                              </w:r>
                              <w:r w:rsidRPr="00E24A9F">
                                <w:rPr>
                                  <w:rFonts w:ascii="Arial" w:eastAsia="Calibri" w:hAnsi="Arial" w:cs="Arial"/>
                                  <w:color w:val="636363"/>
                                  <w:sz w:val="17"/>
                                  <w:szCs w:val="17"/>
                                </w:rPr>
                                <w:br/>
                              </w:r>
                              <w:r w:rsidRPr="00E24A9F">
                                <w:rPr>
                                  <w:rFonts w:ascii="Arial" w:eastAsia="Calibri" w:hAnsi="Arial" w:cs="Arial"/>
                                  <w:color w:val="636363"/>
                                  <w:sz w:val="17"/>
                                  <w:szCs w:val="17"/>
                                </w:rPr>
                                <w:br/>
                                <w:t xml:space="preserve">This is a message from UnitedHealthcare. You are receiving this email because you are either a registered user of </w:t>
                              </w:r>
                              <w:hyperlink r:id="rId10" w:history="1">
                                <w:r w:rsidRPr="00E24A9F">
                                  <w:rPr>
                                    <w:rFonts w:ascii="Arial" w:eastAsia="Calibri" w:hAnsi="Arial" w:cs="Arial"/>
                                    <w:color w:val="666666"/>
                                    <w:sz w:val="17"/>
                                    <w:szCs w:val="17"/>
                                    <w:u w:val="single"/>
                                  </w:rPr>
                                  <w:t>UHCprovider.com</w:t>
                                </w:r>
                              </w:hyperlink>
                              <w:r w:rsidRPr="00E24A9F">
                                <w:rPr>
                                  <w:rFonts w:ascii="Arial" w:eastAsia="Calibri" w:hAnsi="Arial" w:cs="Arial"/>
                                  <w:color w:val="636363"/>
                                  <w:sz w:val="17"/>
                                  <w:szCs w:val="17"/>
                                </w:rPr>
                                <w:t xml:space="preserve"> or have contracted or subscribed to receive email communications from UnitedHealthcare. We respect your right to privacy. Visit our website to read our </w:t>
                              </w:r>
                              <w:hyperlink r:id="rId11" w:history="1">
                                <w:r w:rsidRPr="00E24A9F">
                                  <w:rPr>
                                    <w:rFonts w:ascii="Arial" w:eastAsia="Calibri" w:hAnsi="Arial" w:cs="Arial"/>
                                    <w:color w:val="666666"/>
                                    <w:sz w:val="17"/>
                                    <w:szCs w:val="17"/>
                                    <w:u w:val="single"/>
                                  </w:rPr>
                                  <w:t>Privacy Policy</w:t>
                                </w:r>
                              </w:hyperlink>
                              <w:r w:rsidRPr="00E24A9F">
                                <w:rPr>
                                  <w:rFonts w:ascii="Arial" w:eastAsia="Calibri" w:hAnsi="Arial" w:cs="Arial"/>
                                  <w:color w:val="636363"/>
                                  <w:sz w:val="17"/>
                                  <w:szCs w:val="17"/>
                                </w:rPr>
                                <w:t xml:space="preserve"> and </w:t>
                              </w:r>
                              <w:hyperlink r:id="rId12" w:history="1">
                                <w:r w:rsidRPr="00E24A9F">
                                  <w:rPr>
                                    <w:rFonts w:ascii="Arial" w:eastAsia="Calibri" w:hAnsi="Arial" w:cs="Arial"/>
                                    <w:color w:val="666666"/>
                                    <w:sz w:val="17"/>
                                    <w:szCs w:val="17"/>
                                    <w:u w:val="single"/>
                                  </w:rPr>
                                  <w:t>Security Notice</w:t>
                                </w:r>
                              </w:hyperlink>
                              <w:r w:rsidRPr="00E24A9F">
                                <w:rPr>
                                  <w:rFonts w:ascii="Arial" w:eastAsia="Calibri" w:hAnsi="Arial" w:cs="Arial"/>
                                  <w:color w:val="636363"/>
                                  <w:sz w:val="17"/>
                                  <w:szCs w:val="17"/>
                                </w:rPr>
                                <w:t>. To unsubscribe from future email communications or to change your email address, visit our email preferences page.</w:t>
                              </w:r>
                            </w:p>
                          </w:tc>
                        </w:tr>
                      </w:tbl>
                      <w:p w:rsidR="00E24A9F" w:rsidRPr="00E24A9F" w:rsidRDefault="00E24A9F" w:rsidP="00E24A9F">
                        <w:pPr>
                          <w:spacing w:after="0" w:line="240" w:lineRule="auto"/>
                          <w:jc w:val="center"/>
                          <w:rPr>
                            <w:rFonts w:ascii="Times New Roman" w:eastAsia="Times New Roman" w:hAnsi="Times New Roman" w:cs="Times New Roman"/>
                            <w:sz w:val="20"/>
                            <w:szCs w:val="20"/>
                          </w:rPr>
                        </w:pPr>
                      </w:p>
                    </w:tc>
                  </w:tr>
                  <w:tr w:rsidR="00E24A9F" w:rsidRPr="00E24A9F">
                    <w:trPr>
                      <w:jc w:val="center"/>
                    </w:trPr>
                    <w:tc>
                      <w:tcPr>
                        <w:tcW w:w="0" w:type="auto"/>
                        <w:shd w:val="clear" w:color="auto" w:fill="F5F5F5"/>
                        <w:tcMar>
                          <w:top w:w="300" w:type="dxa"/>
                          <w:left w:w="0" w:type="dxa"/>
                          <w:bottom w:w="300" w:type="dxa"/>
                          <w:right w:w="0" w:type="dxa"/>
                        </w:tcMar>
                        <w:vAlign w:val="center"/>
                        <w:hideMark/>
                      </w:tcPr>
                      <w:tbl>
                        <w:tblPr>
                          <w:tblW w:w="7500" w:type="dxa"/>
                          <w:jc w:val="center"/>
                          <w:tblCellMar>
                            <w:left w:w="0" w:type="dxa"/>
                            <w:right w:w="0" w:type="dxa"/>
                          </w:tblCellMar>
                          <w:tblLook w:val="04A0" w:firstRow="1" w:lastRow="0" w:firstColumn="1" w:lastColumn="0" w:noHBand="0" w:noVBand="1"/>
                        </w:tblPr>
                        <w:tblGrid>
                          <w:gridCol w:w="2368"/>
                          <w:gridCol w:w="5132"/>
                        </w:tblGrid>
                        <w:tr w:rsidR="00E24A9F" w:rsidRPr="00E24A9F">
                          <w:trPr>
                            <w:jc w:val="center"/>
                          </w:trPr>
                          <w:tc>
                            <w:tcPr>
                              <w:tcW w:w="0" w:type="auto"/>
                              <w:hideMark/>
                            </w:tcPr>
                            <w:tbl>
                              <w:tblPr>
                                <w:tblpPr w:leftFromText="45" w:rightFromText="45" w:vertAnchor="text"/>
                                <w:tblW w:w="2250" w:type="dxa"/>
                                <w:tblCellMar>
                                  <w:left w:w="0" w:type="dxa"/>
                                  <w:right w:w="0" w:type="dxa"/>
                                </w:tblCellMar>
                                <w:tblLook w:val="04A0" w:firstRow="1" w:lastRow="0" w:firstColumn="1" w:lastColumn="0" w:noHBand="0" w:noVBand="1"/>
                              </w:tblPr>
                              <w:tblGrid>
                                <w:gridCol w:w="2250"/>
                              </w:tblGrid>
                              <w:tr w:rsidR="00E24A9F" w:rsidRPr="00E24A9F">
                                <w:tc>
                                  <w:tcPr>
                                    <w:tcW w:w="2040" w:type="dxa"/>
                                    <w:tcMar>
                                      <w:top w:w="0" w:type="dxa"/>
                                      <w:left w:w="150" w:type="dxa"/>
                                      <w:bottom w:w="300" w:type="dxa"/>
                                      <w:right w:w="0" w:type="dxa"/>
                                    </w:tcMar>
                                    <w:hideMark/>
                                  </w:tcPr>
                                  <w:p w:rsidR="00E24A9F" w:rsidRPr="00E24A9F" w:rsidRDefault="00E24A9F" w:rsidP="00E24A9F">
                                    <w:pPr>
                                      <w:spacing w:after="0" w:line="240" w:lineRule="auto"/>
                                      <w:rPr>
                                        <w:rFonts w:ascii="Times New Roman" w:eastAsia="Times New Roman" w:hAnsi="Times New Roman" w:cs="Times New Roman"/>
                                        <w:sz w:val="24"/>
                                        <w:szCs w:val="24"/>
                                      </w:rPr>
                                    </w:pPr>
                                    <w:r w:rsidRPr="00E24A9F">
                                      <w:rPr>
                                        <w:rFonts w:ascii="Times New Roman" w:eastAsia="Times New Roman" w:hAnsi="Times New Roman" w:cs="Times New Roman"/>
                                        <w:noProof/>
                                        <w:sz w:val="24"/>
                                        <w:szCs w:val="24"/>
                                      </w:rPr>
                                      <w:lastRenderedPageBreak/>
                                      <w:drawing>
                                        <wp:inline distT="0" distB="0" distL="0" distR="0" wp14:anchorId="307508FE" wp14:editId="72571F7E">
                                          <wp:extent cx="1295400" cy="390525"/>
                                          <wp:effectExtent l="0" t="0" r="0" b="9525"/>
                                          <wp:docPr id="3" name="Picture 3"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edHealthca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r>
                            </w:tbl>
                            <w:p w:rsidR="00E24A9F" w:rsidRPr="00E24A9F" w:rsidRDefault="00E24A9F" w:rsidP="00E24A9F">
                              <w:pPr>
                                <w:spacing w:after="0" w:line="240" w:lineRule="auto"/>
                                <w:rPr>
                                  <w:rFonts w:ascii="Times New Roman" w:eastAsia="Times New Roman" w:hAnsi="Times New Roman" w:cs="Times New Roman"/>
                                  <w:sz w:val="20"/>
                                  <w:szCs w:val="20"/>
                                </w:rPr>
                              </w:pPr>
                            </w:p>
                          </w:tc>
                          <w:tc>
                            <w:tcPr>
                              <w:tcW w:w="0" w:type="auto"/>
                              <w:hideMark/>
                            </w:tcPr>
                            <w:tbl>
                              <w:tblPr>
                                <w:tblpPr w:leftFromText="45" w:rightFromText="45" w:vertAnchor="text"/>
                                <w:tblW w:w="4875" w:type="dxa"/>
                                <w:tblCellMar>
                                  <w:left w:w="0" w:type="dxa"/>
                                  <w:right w:w="0" w:type="dxa"/>
                                </w:tblCellMar>
                                <w:tblLook w:val="04A0" w:firstRow="1" w:lastRow="0" w:firstColumn="1" w:lastColumn="0" w:noHBand="0" w:noVBand="1"/>
                              </w:tblPr>
                              <w:tblGrid>
                                <w:gridCol w:w="4875"/>
                              </w:tblGrid>
                              <w:tr w:rsidR="00E24A9F" w:rsidRPr="00E24A9F">
                                <w:tc>
                                  <w:tcPr>
                                    <w:tcW w:w="0" w:type="auto"/>
                                    <w:tcMar>
                                      <w:top w:w="0" w:type="dxa"/>
                                      <w:left w:w="150" w:type="dxa"/>
                                      <w:bottom w:w="150" w:type="dxa"/>
                                      <w:right w:w="0" w:type="dxa"/>
                                    </w:tcMar>
                                    <w:hideMark/>
                                  </w:tcPr>
                                  <w:p w:rsidR="00E24A9F" w:rsidRPr="00E24A9F" w:rsidRDefault="00E24A9F" w:rsidP="00E24A9F">
                                    <w:pPr>
                                      <w:spacing w:after="100" w:afterAutospacing="1" w:line="240" w:lineRule="atLeast"/>
                                      <w:rPr>
                                        <w:rFonts w:ascii="Arial" w:eastAsia="Calibri" w:hAnsi="Arial" w:cs="Arial"/>
                                        <w:color w:val="63666A"/>
                                        <w:sz w:val="17"/>
                                        <w:szCs w:val="17"/>
                                      </w:rPr>
                                    </w:pPr>
                                    <w:r w:rsidRPr="00E24A9F">
                                      <w:rPr>
                                        <w:rFonts w:ascii="Arial" w:eastAsia="Calibri" w:hAnsi="Arial" w:cs="Arial"/>
                                        <w:color w:val="63666A"/>
                                        <w:sz w:val="17"/>
                                        <w:szCs w:val="17"/>
                                      </w:rPr>
                                      <w:t xml:space="preserve">This email was sent to: </w:t>
                                    </w:r>
                                    <w:bookmarkStart w:id="0" w:name="_GoBack"/>
                                    <w:bookmarkEnd w:id="0"/>
                                    <w:r w:rsidRPr="00E24A9F">
                                      <w:rPr>
                                        <w:rFonts w:ascii="Arial" w:eastAsia="Calibri" w:hAnsi="Arial" w:cs="Arial"/>
                                        <w:color w:val="63666A"/>
                                        <w:sz w:val="17"/>
                                        <w:szCs w:val="17"/>
                                      </w:rPr>
                                      <w:br/>
                                      <w:t>This email was sent by:</w:t>
                                    </w:r>
                                    <w:r w:rsidRPr="00E24A9F">
                                      <w:rPr>
                                        <w:rFonts w:ascii="Arial" w:eastAsia="Calibri" w:hAnsi="Arial" w:cs="Arial"/>
                                        <w:color w:val="63666A"/>
                                        <w:sz w:val="17"/>
                                        <w:szCs w:val="17"/>
                                      </w:rPr>
                                      <w:br/>
                                      <w:t>UnitedHealthcare</w:t>
                                    </w:r>
                                    <w:r w:rsidRPr="00E24A9F">
                                      <w:rPr>
                                        <w:rFonts w:ascii="Arial" w:eastAsia="Calibri" w:hAnsi="Arial" w:cs="Arial"/>
                                        <w:color w:val="63666A"/>
                                        <w:sz w:val="17"/>
                                        <w:szCs w:val="17"/>
                                      </w:rPr>
                                      <w:br/>
                                      <w:t>9700 Health Care Lane, Minnetonka, MN 55343 USA</w:t>
                                    </w:r>
                                  </w:p>
                                  <w:p w:rsidR="00E24A9F" w:rsidRPr="00E24A9F" w:rsidRDefault="00E24A9F" w:rsidP="00E24A9F">
                                    <w:pPr>
                                      <w:spacing w:before="100" w:beforeAutospacing="1" w:after="100" w:afterAutospacing="1" w:line="240" w:lineRule="atLeast"/>
                                      <w:rPr>
                                        <w:rFonts w:ascii="Arial" w:eastAsia="Calibri" w:hAnsi="Arial" w:cs="Arial"/>
                                        <w:color w:val="63666A"/>
                                        <w:sz w:val="17"/>
                                        <w:szCs w:val="17"/>
                                      </w:rPr>
                                    </w:pPr>
                                    <w:hyperlink r:id="rId14" w:tgtFrame="_blank" w:history="1">
                                      <w:r w:rsidRPr="00E24A9F">
                                        <w:rPr>
                                          <w:rFonts w:ascii="Arial" w:eastAsia="Calibri" w:hAnsi="Arial" w:cs="Arial"/>
                                          <w:color w:val="196ECF"/>
                                          <w:sz w:val="17"/>
                                          <w:szCs w:val="17"/>
                                          <w:u w:val="single"/>
                                        </w:rPr>
                                        <w:t>Preference Center</w:t>
                                      </w:r>
                                    </w:hyperlink>
                                    <w:r w:rsidRPr="00E24A9F">
                                      <w:rPr>
                                        <w:rFonts w:ascii="Arial" w:eastAsia="Calibri" w:hAnsi="Arial" w:cs="Arial"/>
                                        <w:color w:val="63666A"/>
                                        <w:sz w:val="17"/>
                                        <w:szCs w:val="17"/>
                                      </w:rPr>
                                      <w:t xml:space="preserve"> | </w:t>
                                    </w:r>
                                    <w:hyperlink r:id="rId15" w:tgtFrame="_blank" w:history="1">
                                      <w:r w:rsidRPr="00E24A9F">
                                        <w:rPr>
                                          <w:rFonts w:ascii="Arial" w:eastAsia="Calibri" w:hAnsi="Arial" w:cs="Arial"/>
                                          <w:color w:val="196ECF"/>
                                          <w:sz w:val="17"/>
                                          <w:szCs w:val="17"/>
                                          <w:u w:val="single"/>
                                        </w:rPr>
                                        <w:t>Unsubscribe</w:t>
                                      </w:r>
                                    </w:hyperlink>
                                    <w:r w:rsidRPr="00E24A9F">
                                      <w:rPr>
                                        <w:rFonts w:ascii="Arial" w:eastAsia="Calibri" w:hAnsi="Arial" w:cs="Arial"/>
                                        <w:color w:val="63666A"/>
                                        <w:sz w:val="17"/>
                                        <w:szCs w:val="17"/>
                                      </w:rPr>
                                      <w:t xml:space="preserve"> | </w:t>
                                    </w:r>
                                    <w:hyperlink r:id="rId16" w:tgtFrame="_blank" w:history="1">
                                      <w:r w:rsidRPr="00E24A9F">
                                        <w:rPr>
                                          <w:rFonts w:ascii="Arial" w:eastAsia="Calibri" w:hAnsi="Arial" w:cs="Arial"/>
                                          <w:color w:val="196ECF"/>
                                          <w:sz w:val="17"/>
                                          <w:szCs w:val="17"/>
                                          <w:u w:val="single"/>
                                        </w:rPr>
                                        <w:t>Privacy Policy</w:t>
                                      </w:r>
                                    </w:hyperlink>
                                    <w:r w:rsidRPr="00E24A9F">
                                      <w:rPr>
                                        <w:rFonts w:ascii="Arial" w:eastAsia="Calibri" w:hAnsi="Arial" w:cs="Arial"/>
                                        <w:color w:val="63666A"/>
                                        <w:sz w:val="17"/>
                                        <w:szCs w:val="17"/>
                                      </w:rPr>
                                      <w:br/>
                                    </w:r>
                                    <w:r w:rsidRPr="00E24A9F">
                                      <w:rPr>
                                        <w:rFonts w:ascii="Arial" w:eastAsia="Calibri" w:hAnsi="Arial" w:cs="Arial"/>
                                        <w:color w:val="63666A"/>
                                        <w:sz w:val="17"/>
                                        <w:szCs w:val="17"/>
                                      </w:rPr>
                                      <w:br/>
                                      <w:t>Please do not reply to this email address; this mailbox is used for outbound email only.</w:t>
                                    </w:r>
                                  </w:p>
                                </w:tc>
                              </w:tr>
                            </w:tbl>
                            <w:p w:rsidR="00E24A9F" w:rsidRPr="00E24A9F" w:rsidRDefault="00E24A9F" w:rsidP="00E24A9F">
                              <w:pPr>
                                <w:spacing w:after="0" w:line="240" w:lineRule="auto"/>
                                <w:rPr>
                                  <w:rFonts w:ascii="Times New Roman" w:eastAsia="Times New Roman" w:hAnsi="Times New Roman" w:cs="Times New Roman"/>
                                  <w:sz w:val="20"/>
                                  <w:szCs w:val="20"/>
                                </w:rPr>
                              </w:pPr>
                            </w:p>
                          </w:tc>
                        </w:tr>
                      </w:tbl>
                      <w:p w:rsidR="00E24A9F" w:rsidRPr="00E24A9F" w:rsidRDefault="00E24A9F" w:rsidP="00E24A9F">
                        <w:pPr>
                          <w:spacing w:after="0" w:line="240" w:lineRule="auto"/>
                          <w:jc w:val="center"/>
                          <w:rPr>
                            <w:rFonts w:ascii="Times New Roman" w:eastAsia="Times New Roman" w:hAnsi="Times New Roman" w:cs="Times New Roman"/>
                            <w:sz w:val="20"/>
                            <w:szCs w:val="20"/>
                          </w:rPr>
                        </w:pPr>
                      </w:p>
                    </w:tc>
                  </w:tr>
                </w:tbl>
                <w:p w:rsidR="00E24A9F" w:rsidRPr="00E24A9F" w:rsidRDefault="00E24A9F" w:rsidP="00E24A9F">
                  <w:pPr>
                    <w:spacing w:after="0" w:line="240" w:lineRule="auto"/>
                    <w:jc w:val="center"/>
                    <w:rPr>
                      <w:rFonts w:ascii="Times New Roman" w:eastAsia="Times New Roman" w:hAnsi="Times New Roman" w:cs="Times New Roman"/>
                      <w:sz w:val="20"/>
                      <w:szCs w:val="20"/>
                    </w:rPr>
                  </w:pPr>
                </w:p>
              </w:tc>
            </w:tr>
          </w:tbl>
          <w:p w:rsidR="00E24A9F" w:rsidRPr="00E24A9F" w:rsidRDefault="00E24A9F" w:rsidP="00E24A9F">
            <w:pPr>
              <w:spacing w:after="0" w:line="240" w:lineRule="auto"/>
              <w:jc w:val="center"/>
              <w:rPr>
                <w:rFonts w:ascii="Times New Roman" w:eastAsia="Times New Roman" w:hAnsi="Times New Roman" w:cs="Times New Roman"/>
                <w:sz w:val="20"/>
                <w:szCs w:val="20"/>
              </w:rPr>
            </w:pPr>
          </w:p>
        </w:tc>
      </w:tr>
    </w:tbl>
    <w:p w:rsidR="00E24A9F" w:rsidRPr="00E24A9F" w:rsidRDefault="00E24A9F" w:rsidP="00E24A9F">
      <w:pPr>
        <w:spacing w:after="0" w:line="240" w:lineRule="auto"/>
        <w:rPr>
          <w:rFonts w:ascii="Times New Roman" w:eastAsia="Times New Roman" w:hAnsi="Times New Roman" w:cs="Times New Roman"/>
          <w:sz w:val="24"/>
          <w:szCs w:val="24"/>
        </w:rPr>
      </w:pPr>
    </w:p>
    <w:p w:rsidR="00A47D4E" w:rsidRDefault="00A47D4E"/>
    <w:sectPr w:rsidR="00A47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E1E31"/>
    <w:multiLevelType w:val="multilevel"/>
    <w:tmpl w:val="C66E1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9F"/>
    <w:rsid w:val="00A47D4E"/>
    <w:rsid w:val="00E2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CA095-2769-41DF-93F9-B15ED615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3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com/v3/__https:/click.provideremail.uhc.com/?qs=c48572e4bba55a94d48b56ecf964736ff20185282f9a636f0886e9ec5ac6b8914408d2638d7a082010dae72da5cf2caf4f631fdaff51b6e0__;!!KZd1Y3y2zDCptWw!89QLIxKPnwi6icAQ1V-stsoG_5kDzRPSss1hal3VqUvzR31MtfVEGhKnv6li$" TargetMode="External"/><Relationship Id="rId12" Type="http://schemas.openxmlformats.org/officeDocument/2006/relationships/hyperlink" Target="https://urldefense.com/v3/__https:/click.provideremail.uhc.com/?qs=c48572e4bba55a94b129bd59d6f7536df32795e8b205b68d330156caf2c7a252f33bbbfa82ded6d0b78d6bcda1a5eb307d2fa0e4b2606f64__;!!KZd1Y3y2zDCptWw!89QLIxKPnwi6icAQ1V-stsoG_5kDzRPSss1hal3VqUvzR31MtfVEGmCSQXF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com/v3/__https:/click.provideremail.uhc.com/?qs=a530e97dc99a012afe057752f10e2958c59d510d95124bff38b484f34a62d302abe8fd7f7e630395de06ab1c444f6a40fffe612cf2802bc0__;!!KZd1Y3y2zDCptWw!89QLIxKPnwi6icAQ1V-stsoG_5kDzRPSss1hal3VqUvzR31MtfVEGnQ8o-a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rldefense.com/v3/__https:/click.provideremail.uhc.com/?qs=c48572e4bba55a948ef2a47ccba2ee39c5468632764cb47e36dd9f961cb43227e919ae10f3da57726a116ea4366ad3e51cba22ea95d6a3fb__;!!KZd1Y3y2zDCptWw!89QLIxKPnwi6icAQ1V-stsoG_5kDzRPSss1hal3VqUvzR31MtfVEGjInVr-2$" TargetMode="External"/><Relationship Id="rId5" Type="http://schemas.openxmlformats.org/officeDocument/2006/relationships/hyperlink" Target="https://urldefense.com/v3/__https:/view.provideremail.uhc.com/?qs=900fa218bc803367e11ff40ed1e737fba57a877202e5b14b4101c0b89fb901de23a09bca0e59d1da2b47ec265b61e06c2a490648904eb65d5b52910e9fa77dcda6a186780da6e87dd9089eff40f026b6fda40f2c1e41fcb2__;!!KZd1Y3y2zDCptWw!89QLIxKPnwi6icAQ1V-stsoG_5kDzRPSss1hal3VqUvzR31MtfVEGieOYxmf$" TargetMode="External"/><Relationship Id="rId15" Type="http://schemas.openxmlformats.org/officeDocument/2006/relationships/hyperlink" Target="https://urldefense.com/v3/__https:/click.provideremail.uhc.com/?qs=a530e97dc99a012acf16a7ae27dae7712ac17bd2d711e8421000f76bb9e88914ad463ccf909a468514114271af010f1daf23c3427e8d2504__;!!KZd1Y3y2zDCptWw!89QLIxKPnwi6icAQ1V-stsoG_5kDzRPSss1hal3VqUvzR31MtfVEGsZQr_l9$" TargetMode="External"/><Relationship Id="rId10" Type="http://schemas.openxmlformats.org/officeDocument/2006/relationships/hyperlink" Target="https://urldefense.com/v3/__https:/click.provideremail.uhc.com/?qs=c48572e4bba55a940651e8a6e3156c084b6c130b64bb6f44861606b191c2104f71432b7ab368a3cd061996fd529661aafd23d5a01142f890__;!!KZd1Y3y2zDCptWw!89QLIxKPnwi6icAQ1V-stsoG_5kDzRPSss1hal3VqUvzR31MtfVEGhswvJHo$" TargetMode="External"/><Relationship Id="rId4" Type="http://schemas.openxmlformats.org/officeDocument/2006/relationships/webSettings" Target="webSettings.xml"/><Relationship Id="rId9" Type="http://schemas.openxmlformats.org/officeDocument/2006/relationships/hyperlink" Target="https://urldefense.com/v3/__https:/click.provideremail.uhc.com/?qs=c48572e4bba55a94d7e9bff95b6a04c12f41fd2966969bc1803220eb83091ab66b3a09d9b558bb57d6f9e88d5488dfb876ea13738e803323__;!!KZd1Y3y2zDCptWw!89QLIxKPnwi6icAQ1V-stsoG_5kDzRPSss1hal3VqUvzR31MtfVEGsyHwB4E$" TargetMode="External"/><Relationship Id="rId14" Type="http://schemas.openxmlformats.org/officeDocument/2006/relationships/hyperlink" Target="https://urldefense.com/v3/__https:/click.provideremail.uhc.com/?qs=c48572e4bba55a94a41a05d8e638dbefbbd1879b63546701f2468c7c0159d69703e5727851b8ef4dc3ea648c2299d62d59f002bd0f110ca6__;!!KZd1Y3y2zDCptWw!89QLIxKPnwi6icAQ1V-stsoG_5kDzRPSss1hal3VqUvzR31MtfVEGoFDQLq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7235</Characters>
  <Application>Microsoft Office Word</Application>
  <DocSecurity>0</DocSecurity>
  <Lines>60</Lines>
  <Paragraphs>16</Paragraphs>
  <ScaleCrop>false</ScaleCrop>
  <Company>Med Center Health</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2022-01-04T19:31:00Z</dcterms:created>
  <dcterms:modified xsi:type="dcterms:W3CDTF">2022-01-04T19:32:00Z</dcterms:modified>
</cp:coreProperties>
</file>