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D668C2" w:rsidTr="00D668C2">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180" w:type="dxa"/>
                    <w:left w:w="600" w:type="dxa"/>
                    <w:bottom w:w="180" w:type="dxa"/>
                    <w:right w:w="600" w:type="dxa"/>
                  </w:tcMar>
                  <w:vAlign w:val="center"/>
                  <w:hideMark/>
                </w:tcPr>
                <w:p w:rsidR="00D668C2" w:rsidRDefault="00D668C2">
                  <w:pPr>
                    <w:spacing w:line="270" w:lineRule="atLeast"/>
                    <w:jc w:val="center"/>
                    <w:rPr>
                      <w:rFonts w:ascii="Arial" w:eastAsia="Times New Roman" w:hAnsi="Arial" w:cs="Arial"/>
                      <w:color w:val="636363"/>
                      <w:sz w:val="18"/>
                      <w:szCs w:val="18"/>
                    </w:rPr>
                  </w:pPr>
                  <w:r>
                    <w:rPr>
                      <w:rFonts w:ascii="Arial" w:eastAsia="Times New Roman" w:hAnsi="Arial" w:cs="Arial"/>
                      <w:color w:val="636363"/>
                      <w:sz w:val="18"/>
                      <w:szCs w:val="18"/>
                    </w:rPr>
                    <w:t xml:space="preserve">If you are unable to read this message or see the images, </w:t>
                  </w:r>
                  <w:hyperlink r:id="rId5" w:history="1">
                    <w:r>
                      <w:rPr>
                        <w:rStyle w:val="Hyperlink"/>
                        <w:rFonts w:ascii="Arial" w:eastAsia="Times New Roman" w:hAnsi="Arial" w:cs="Arial"/>
                        <w:color w:val="666666"/>
                        <w:sz w:val="18"/>
                        <w:szCs w:val="18"/>
                      </w:rPr>
                      <w:t>view it online</w:t>
                    </w:r>
                  </w:hyperlink>
                  <w:r>
                    <w:rPr>
                      <w:rFonts w:ascii="Arial" w:eastAsia="Times New Roman" w:hAnsi="Arial" w:cs="Arial"/>
                      <w:color w:val="636363"/>
                      <w:sz w:val="18"/>
                      <w:szCs w:val="18"/>
                    </w:rPr>
                    <w:t xml:space="preserve"> </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668C2">
              <w:tc>
                <w:tcPr>
                  <w:tcW w:w="465" w:type="dxa"/>
                  <w:vAlign w:val="center"/>
                  <w:hideMark/>
                </w:tcPr>
                <w:p w:rsidR="00D668C2" w:rsidRDefault="00D668C2">
                  <w:pPr>
                    <w:rPr>
                      <w:rFonts w:eastAsia="Times New Roman"/>
                    </w:rPr>
                  </w:pPr>
                  <w:r>
                    <w:rPr>
                      <w:rFonts w:eastAsia="Times New Roman"/>
                      <w:noProof/>
                    </w:rPr>
                    <w:drawing>
                      <wp:inline distT="0" distB="0" distL="0" distR="0">
                        <wp:extent cx="295275" cy="514350"/>
                        <wp:effectExtent l="0" t="0" r="9525" b="0"/>
                        <wp:docPr id="3" name="Picture 3"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D668C2" w:rsidRDefault="00D668C2">
            <w:pPr>
              <w:rPr>
                <w:rFonts w:eastAsia="Times New Roman"/>
                <w:sz w:val="20"/>
                <w:szCs w:val="20"/>
              </w:rPr>
            </w:pPr>
          </w:p>
        </w:tc>
      </w:tr>
      <w:tr w:rsidR="00D668C2" w:rsidTr="00D668C2">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525" w:type="dxa"/>
                    <w:right w:w="150" w:type="dxa"/>
                  </w:tcMar>
                  <w:vAlign w:val="center"/>
                </w:tcPr>
                <w:p w:rsidR="00D668C2" w:rsidRDefault="00D668C2">
                  <w:pPr>
                    <w:pStyle w:val="Heading1"/>
                    <w:spacing w:before="0" w:beforeAutospacing="0" w:after="45" w:afterAutospacing="0" w:line="420" w:lineRule="atLeast"/>
                    <w:rPr>
                      <w:rFonts w:ascii="Georgia" w:eastAsia="Times New Roman" w:hAnsi="Georgia" w:cs="Arial"/>
                      <w:color w:val="002677"/>
                      <w:sz w:val="42"/>
                      <w:szCs w:val="42"/>
                    </w:rPr>
                  </w:pPr>
                  <w:r>
                    <w:rPr>
                      <w:rFonts w:ascii="Georgia" w:eastAsia="Times New Roman" w:hAnsi="Georgia" w:cs="Arial"/>
                      <w:color w:val="002677"/>
                      <w:sz w:val="42"/>
                      <w:szCs w:val="42"/>
                    </w:rPr>
                    <w:t>COVID</w:t>
                  </w:r>
                  <w:r>
                    <w:rPr>
                      <w:rFonts w:ascii="Georgia" w:eastAsia="Times New Roman" w:hAnsi="Georgia" w:cs="Arial"/>
                      <w:color w:val="002677"/>
                      <w:sz w:val="42"/>
                      <w:szCs w:val="42"/>
                    </w:rPr>
                    <w:noBreakHyphen/>
                    <w:t>19 news from UnitedHealthcare</w:t>
                  </w:r>
                </w:p>
                <w:p w:rsidR="00D668C2" w:rsidRDefault="00D668C2">
                  <w:pPr>
                    <w:pStyle w:val="Heading2"/>
                    <w:spacing w:before="75" w:beforeAutospacing="0" w:after="150" w:afterAutospacing="0" w:line="360" w:lineRule="atLeast"/>
                    <w:rPr>
                      <w:rFonts w:ascii="Arial" w:eastAsia="Times New Roman" w:hAnsi="Arial" w:cs="Arial"/>
                      <w:b w:val="0"/>
                      <w:bCs w:val="0"/>
                      <w:color w:val="002677"/>
                      <w:sz w:val="30"/>
                      <w:szCs w:val="30"/>
                    </w:rPr>
                  </w:pPr>
                  <w:r>
                    <w:rPr>
                      <w:rFonts w:ascii="Arial" w:eastAsia="Times New Roman" w:hAnsi="Arial" w:cs="Arial"/>
                      <w:b w:val="0"/>
                      <w:bCs w:val="0"/>
                      <w:color w:val="002677"/>
                      <w:sz w:val="30"/>
                      <w:szCs w:val="30"/>
                    </w:rPr>
                    <w:t>Testing and treatment coverage changes, billing reminders and more</w:t>
                  </w:r>
                </w:p>
                <w:p w:rsidR="00D668C2" w:rsidRDefault="00D668C2">
                  <w:pPr>
                    <w:spacing w:line="330" w:lineRule="atLeast"/>
                    <w:rPr>
                      <w:rFonts w:ascii="Arial" w:eastAsia="Times New Roman" w:hAnsi="Arial" w:cs="Arial"/>
                      <w:color w:val="444444"/>
                      <w:sz w:val="21"/>
                      <w:szCs w:val="21"/>
                    </w:rPr>
                  </w:pPr>
                </w:p>
                <w:p w:rsidR="00D668C2" w:rsidRDefault="00D668C2">
                  <w:pPr>
                    <w:pStyle w:val="NormalWeb"/>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 xml:space="preserve">The COVID-19 pandemic continues to evolve at a rapid pace, with developments around testing, treatment, vaccines and more. We know you may have questions about what these developments mean for you and your patients. We’ve summarized several of the key changes below, and our </w:t>
                  </w:r>
                  <w:hyperlink r:id="rId7" w:history="1">
                    <w:r>
                      <w:rPr>
                        <w:rStyle w:val="Hyperlink"/>
                        <w:rFonts w:ascii="Arial" w:hAnsi="Arial" w:cs="Arial"/>
                        <w:b/>
                        <w:bCs/>
                        <w:sz w:val="21"/>
                        <w:szCs w:val="21"/>
                      </w:rPr>
                      <w:t>COVID-19 Billing Guide</w:t>
                    </w:r>
                  </w:hyperlink>
                  <w:r>
                    <w:rPr>
                      <w:rFonts w:ascii="Arial" w:hAnsi="Arial" w:cs="Arial"/>
                      <w:color w:val="444444"/>
                      <w:sz w:val="21"/>
                      <w:szCs w:val="21"/>
                    </w:rPr>
                    <w:t xml:space="preserve">, </w:t>
                  </w:r>
                  <w:hyperlink r:id="rId8" w:history="1">
                    <w:r>
                      <w:rPr>
                        <w:rStyle w:val="Hyperlink"/>
                        <w:rFonts w:ascii="Arial" w:hAnsi="Arial" w:cs="Arial"/>
                        <w:b/>
                        <w:bCs/>
                        <w:sz w:val="21"/>
                        <w:szCs w:val="21"/>
                      </w:rPr>
                      <w:t>Summary of COVID-19 Temporary Program Provisions</w:t>
                    </w:r>
                  </w:hyperlink>
                  <w:r>
                    <w:rPr>
                      <w:rFonts w:ascii="Arial" w:hAnsi="Arial" w:cs="Arial"/>
                      <w:color w:val="444444"/>
                      <w:sz w:val="21"/>
                      <w:szCs w:val="21"/>
                    </w:rPr>
                    <w:t xml:space="preserve"> and </w:t>
                  </w:r>
                  <w:hyperlink r:id="rId9" w:history="1">
                    <w:r>
                      <w:rPr>
                        <w:rStyle w:val="Hyperlink"/>
                        <w:rFonts w:ascii="Arial" w:hAnsi="Arial" w:cs="Arial"/>
                        <w:b/>
                        <w:bCs/>
                        <w:sz w:val="21"/>
                        <w:szCs w:val="21"/>
                      </w:rPr>
                      <w:t>website</w:t>
                    </w:r>
                  </w:hyperlink>
                  <w:r>
                    <w:rPr>
                      <w:rFonts w:ascii="Arial" w:hAnsi="Arial" w:cs="Arial"/>
                      <w:color w:val="444444"/>
                      <w:sz w:val="21"/>
                      <w:szCs w:val="21"/>
                    </w:rPr>
                    <w:t xml:space="preserve"> have been updated with more information about each of these items.</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450" w:type="dxa"/>
                    <w:right w:w="150" w:type="dxa"/>
                  </w:tcMar>
                  <w:vAlign w:val="center"/>
                  <w:hideMark/>
                </w:tcPr>
                <w:p w:rsidR="00D668C2" w:rsidRDefault="00D668C2">
                  <w:pPr>
                    <w:pStyle w:val="Heading2"/>
                    <w:spacing w:before="0" w:beforeAutospacing="0" w:after="75" w:afterAutospacing="0" w:line="450" w:lineRule="atLeast"/>
                    <w:jc w:val="center"/>
                    <w:rPr>
                      <w:rFonts w:ascii="Georgia" w:eastAsia="Times New Roman" w:hAnsi="Georgia" w:cs="Arial"/>
                      <w:color w:val="FFFFFF"/>
                    </w:rPr>
                  </w:pPr>
                  <w:r>
                    <w:rPr>
                      <w:rFonts w:ascii="Georgia" w:eastAsia="Times New Roman" w:hAnsi="Georgia" w:cs="Arial"/>
                      <w:color w:val="FFFFFF"/>
                    </w:rPr>
                    <w:t>Over-the-counter at-home COVID-19 tests</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0" w:type="dxa"/>
                    <w:right w:w="150" w:type="dxa"/>
                  </w:tcMar>
                  <w:vAlign w:val="center"/>
                  <w:hideMark/>
                </w:tcPr>
                <w:p w:rsidR="00D668C2" w:rsidRDefault="00D668C2">
                  <w:pPr>
                    <w:pStyle w:val="NormalWeb"/>
                    <w:spacing w:before="0" w:beforeAutospacing="0" w:after="300" w:afterAutospacing="0" w:line="330" w:lineRule="atLeast"/>
                    <w:rPr>
                      <w:rFonts w:ascii="Arial" w:hAnsi="Arial" w:cs="Arial"/>
                      <w:color w:val="444444"/>
                      <w:sz w:val="21"/>
                      <w:szCs w:val="21"/>
                    </w:rPr>
                  </w:pPr>
                  <w:r>
                    <w:rPr>
                      <w:rFonts w:ascii="Arial" w:hAnsi="Arial" w:cs="Arial"/>
                      <w:color w:val="444444"/>
                      <w:sz w:val="21"/>
                      <w:szCs w:val="21"/>
                    </w:rPr>
                    <w:t xml:space="preserve">Beginning Jan. 15, 2022, UnitedHealthcare is covering the cost of Food and Drug Administration (FDA)-authorized or approved over-the-counter (OTC) at-home COVID-19 diagnostic tests for Individual and Family Plan and Individual and Group Market health plan members. For tests purchased on or after Jan. 15, members can be reimbursed for up to 8 FDA-authorized or approved OTC at-home diagnostic tests per covered member every calendar month at no cost to the member (no cost sharing, copay, coinsurance or deductible). We want you to be aware that the </w:t>
                  </w:r>
                  <w:hyperlink r:id="rId10" w:history="1">
                    <w:r>
                      <w:rPr>
                        <w:rStyle w:val="Hyperlink"/>
                        <w:rFonts w:ascii="Arial" w:hAnsi="Arial" w:cs="Arial"/>
                        <w:b/>
                        <w:bCs/>
                        <w:sz w:val="21"/>
                        <w:szCs w:val="21"/>
                      </w:rPr>
                      <w:t>OTC testing coverage page</w:t>
                    </w:r>
                  </w:hyperlink>
                  <w:r>
                    <w:rPr>
                      <w:rFonts w:ascii="Arial" w:hAnsi="Arial" w:cs="Arial"/>
                      <w:color w:val="444444"/>
                      <w:sz w:val="21"/>
                      <w:szCs w:val="21"/>
                    </w:rPr>
                    <w:t xml:space="preserve"> on UHC.com, our member website, has up-to-date information for members.</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450" w:type="dxa"/>
                    <w:right w:w="150" w:type="dxa"/>
                  </w:tcMar>
                  <w:vAlign w:val="center"/>
                  <w:hideMark/>
                </w:tcPr>
                <w:p w:rsidR="00D668C2" w:rsidRDefault="00D668C2">
                  <w:pPr>
                    <w:pStyle w:val="Heading2"/>
                    <w:spacing w:before="0" w:beforeAutospacing="0" w:after="75" w:afterAutospacing="0" w:line="450" w:lineRule="atLeast"/>
                    <w:jc w:val="center"/>
                    <w:rPr>
                      <w:rFonts w:ascii="Georgia" w:eastAsia="Times New Roman" w:hAnsi="Georgia" w:cs="Arial"/>
                      <w:color w:val="FFFFFF"/>
                    </w:rPr>
                  </w:pPr>
                  <w:r>
                    <w:rPr>
                      <w:rFonts w:ascii="Georgia" w:eastAsia="Times New Roman" w:hAnsi="Georgia" w:cs="Arial"/>
                      <w:color w:val="FFFFFF"/>
                    </w:rPr>
                    <w:lastRenderedPageBreak/>
                    <w:t>National public health emergency extended</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75" w:type="dxa"/>
                    <w:right w:w="150" w:type="dxa"/>
                  </w:tcMar>
                  <w:vAlign w:val="center"/>
                  <w:hideMark/>
                </w:tcPr>
                <w:p w:rsidR="00D668C2" w:rsidRDefault="00D668C2">
                  <w:pPr>
                    <w:pStyle w:val="NormalWeb"/>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The national public health emergency has been extended from Jan. 15, 2022 to April 15, 2022. Here’s how that extension affects temporary provisions for COVID-19 testing and testing-related visits:</w:t>
                  </w:r>
                </w:p>
                <w:p w:rsidR="00D668C2" w:rsidRDefault="00D668C2" w:rsidP="006773BF">
                  <w:pPr>
                    <w:numPr>
                      <w:ilvl w:val="0"/>
                      <w:numId w:val="1"/>
                    </w:numPr>
                    <w:spacing w:before="100" w:beforeAutospacing="1" w:after="100" w:afterAutospacing="1" w:line="33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Individual Exchange, Individual and Group Market health plans:</w:t>
                  </w:r>
                  <w:r>
                    <w:rPr>
                      <w:rFonts w:ascii="Arial" w:eastAsia="Times New Roman" w:hAnsi="Arial" w:cs="Arial"/>
                      <w:color w:val="444444"/>
                      <w:sz w:val="21"/>
                      <w:szCs w:val="21"/>
                    </w:rPr>
                    <w:t xml:space="preserve"> From Feb. 4, 2020 through the national public health emergency period, UnitedHealthcare is waiving cost sharing for in-network and out-of-network COVID-19 tests and testing-related visits.</w:t>
                  </w:r>
                </w:p>
                <w:p w:rsidR="00D668C2" w:rsidRDefault="00D668C2" w:rsidP="006773BF">
                  <w:pPr>
                    <w:numPr>
                      <w:ilvl w:val="0"/>
                      <w:numId w:val="1"/>
                    </w:numPr>
                    <w:spacing w:before="100" w:beforeAutospacing="1" w:after="100" w:afterAutospacing="1" w:line="33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Medicare Advantage:</w:t>
                  </w:r>
                  <w:r>
                    <w:rPr>
                      <w:rFonts w:ascii="Arial" w:eastAsia="Times New Roman" w:hAnsi="Arial" w:cs="Arial"/>
                      <w:color w:val="444444"/>
                      <w:sz w:val="21"/>
                      <w:szCs w:val="21"/>
                    </w:rPr>
                    <w:t xml:space="preserve"> From Feb. 4, 2020 through the national public health emergency period, UnitedHealthcare is waiving cost sharing for in-network and out-of-network tests for COVID-19, including testing-related telehealth visits.</w:t>
                  </w:r>
                </w:p>
                <w:p w:rsidR="00D668C2" w:rsidRDefault="00D668C2" w:rsidP="006773BF">
                  <w:pPr>
                    <w:numPr>
                      <w:ilvl w:val="0"/>
                      <w:numId w:val="1"/>
                    </w:numPr>
                    <w:spacing w:before="100" w:beforeAutospacing="1" w:after="100" w:afterAutospacing="1" w:line="33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Medicaid:</w:t>
                  </w:r>
                  <w:r>
                    <w:rPr>
                      <w:rFonts w:ascii="Arial" w:eastAsia="Times New Roman" w:hAnsi="Arial" w:cs="Arial"/>
                      <w:color w:val="444444"/>
                      <w:sz w:val="21"/>
                      <w:szCs w:val="21"/>
                    </w:rPr>
                    <w:t xml:space="preserve"> State-specific rules and other state regulations may apply. For Medicaid and other state-specific regulations, please refer to your state-specific website or your state’s UnitedHealthcare Community Plan website, if applicable.</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450" w:type="dxa"/>
                    <w:right w:w="150" w:type="dxa"/>
                  </w:tcMar>
                  <w:vAlign w:val="center"/>
                  <w:hideMark/>
                </w:tcPr>
                <w:p w:rsidR="00D668C2" w:rsidRDefault="00D668C2">
                  <w:pPr>
                    <w:pStyle w:val="Heading2"/>
                    <w:spacing w:before="0" w:beforeAutospacing="0" w:after="75" w:afterAutospacing="0" w:line="450" w:lineRule="atLeast"/>
                    <w:jc w:val="center"/>
                    <w:rPr>
                      <w:rFonts w:ascii="Georgia" w:eastAsia="Times New Roman" w:hAnsi="Georgia" w:cs="Arial"/>
                      <w:color w:val="FFFFFF"/>
                    </w:rPr>
                  </w:pPr>
                  <w:r>
                    <w:rPr>
                      <w:rFonts w:ascii="Georgia" w:eastAsia="Times New Roman" w:hAnsi="Georgia" w:cs="Arial"/>
                      <w:color w:val="FFFFFF"/>
                    </w:rPr>
                    <w:t>Monoclonal antibody and antiviral coverage changes</w:t>
                  </w:r>
                </w:p>
              </w:tc>
            </w:tr>
          </w:tbl>
          <w:p w:rsidR="00D668C2" w:rsidRDefault="00D668C2">
            <w:pPr>
              <w:jc w:val="center"/>
              <w:rPr>
                <w:rFonts w:eastAsia="Times New Roman"/>
                <w:sz w:val="20"/>
                <w:szCs w:val="20"/>
              </w:rPr>
            </w:pPr>
          </w:p>
        </w:tc>
      </w:tr>
      <w:tr w:rsidR="00D668C2" w:rsidTr="00D668C2">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9000"/>
            </w:tblGrid>
            <w:tr w:rsidR="00D668C2">
              <w:trPr>
                <w:jc w:val="center"/>
              </w:trPr>
              <w:tc>
                <w:tcPr>
                  <w:tcW w:w="0" w:type="auto"/>
                  <w:tcMar>
                    <w:top w:w="450" w:type="dxa"/>
                    <w:left w:w="150" w:type="dxa"/>
                    <w:bottom w:w="150" w:type="dxa"/>
                    <w:right w:w="150" w:type="dxa"/>
                  </w:tcMar>
                  <w:vAlign w:val="center"/>
                  <w:hideMark/>
                </w:tcPr>
                <w:p w:rsidR="00D668C2" w:rsidRDefault="00D668C2">
                  <w:pPr>
                    <w:pStyle w:val="NormalWeb"/>
                    <w:spacing w:before="0" w:beforeAutospacing="0" w:after="300" w:afterAutospacing="0" w:line="330" w:lineRule="atLeast"/>
                    <w:rPr>
                      <w:rFonts w:ascii="Arial" w:hAnsi="Arial" w:cs="Arial"/>
                      <w:color w:val="444444"/>
                      <w:sz w:val="21"/>
                      <w:szCs w:val="21"/>
                    </w:rPr>
                  </w:pPr>
                  <w:r>
                    <w:rPr>
                      <w:rFonts w:ascii="Arial" w:hAnsi="Arial" w:cs="Arial"/>
                      <w:color w:val="444444"/>
                      <w:sz w:val="21"/>
                      <w:szCs w:val="21"/>
                    </w:rPr>
                    <w:t xml:space="preserve">To recap recent FDA decisions around COVID-19 treatment, currently there are 2 monoclonal antibody and 3 antiviral treatment options authorized or approved for use: </w:t>
                  </w:r>
                </w:p>
                <w:tbl>
                  <w:tblPr>
                    <w:tblW w:w="0" w:type="auto"/>
                    <w:tblLook w:val="04A0" w:firstRow="1" w:lastRow="0" w:firstColumn="1" w:lastColumn="0" w:noHBand="0" w:noVBand="1"/>
                  </w:tblPr>
                  <w:tblGrid>
                    <w:gridCol w:w="7530"/>
                  </w:tblGrid>
                  <w:tr w:rsidR="00D668C2">
                    <w:tc>
                      <w:tcPr>
                        <w:tcW w:w="0" w:type="auto"/>
                        <w:tcMar>
                          <w:top w:w="15" w:type="dxa"/>
                          <w:left w:w="15" w:type="dxa"/>
                          <w:bottom w:w="15" w:type="dxa"/>
                          <w:right w:w="15" w:type="dxa"/>
                        </w:tcMar>
                        <w:vAlign w:val="center"/>
                      </w:tcPr>
                      <w:tbl>
                        <w:tblPr>
                          <w:tblW w:w="7500" w:type="dxa"/>
                          <w:tblLook w:val="04A0" w:firstRow="1" w:lastRow="0" w:firstColumn="1" w:lastColumn="0" w:noHBand="0" w:noVBand="1"/>
                        </w:tblPr>
                        <w:tblGrid>
                          <w:gridCol w:w="5089"/>
                          <w:gridCol w:w="2411"/>
                        </w:tblGrid>
                        <w:tr w:rsidR="00D668C2">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Monoclonal antibody options</w:t>
                              </w:r>
                            </w:p>
                          </w:tc>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Antiviral options</w:t>
                              </w:r>
                            </w:p>
                          </w:tc>
                        </w:tr>
                        <w:tr w:rsidR="00D668C2">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Fonts w:ascii="Arial" w:eastAsia="Times New Roman" w:hAnsi="Symbol" w:cs="Arial"/>
                                  <w:color w:val="444444"/>
                                  <w:sz w:val="21"/>
                                  <w:szCs w:val="21"/>
                                </w:rPr>
                                <w:t></w:t>
                              </w:r>
                              <w:r>
                                <w:rPr>
                                  <w:rFonts w:ascii="Arial" w:eastAsia="Times New Roman" w:hAnsi="Arial" w:cs="Arial"/>
                                  <w:color w:val="444444"/>
                                  <w:sz w:val="21"/>
                                  <w:szCs w:val="21"/>
                                </w:rPr>
                                <w:t xml:space="preserve">  </w:t>
                              </w:r>
                              <w:proofErr w:type="spellStart"/>
                              <w:r>
                                <w:rPr>
                                  <w:rFonts w:ascii="Arial" w:eastAsia="Times New Roman" w:hAnsi="Arial" w:cs="Arial"/>
                                  <w:color w:val="444444"/>
                                  <w:sz w:val="21"/>
                                  <w:szCs w:val="21"/>
                                </w:rPr>
                                <w:t>Sotrovimab</w:t>
                              </w:r>
                              <w:proofErr w:type="spellEnd"/>
                            </w:p>
                          </w:tc>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Fonts w:ascii="Arial" w:eastAsia="Times New Roman" w:hAnsi="Symbol" w:cs="Arial"/>
                                  <w:color w:val="444444"/>
                                  <w:sz w:val="21"/>
                                  <w:szCs w:val="21"/>
                                </w:rPr>
                                <w:t></w:t>
                              </w:r>
                              <w:r>
                                <w:rPr>
                                  <w:rFonts w:ascii="Arial" w:eastAsia="Times New Roman" w:hAnsi="Arial" w:cs="Arial"/>
                                  <w:color w:val="444444"/>
                                  <w:sz w:val="21"/>
                                  <w:szCs w:val="21"/>
                                </w:rPr>
                                <w:t xml:space="preserve">  </w:t>
                              </w:r>
                              <w:proofErr w:type="spellStart"/>
                              <w:r>
                                <w:rPr>
                                  <w:rFonts w:ascii="Arial" w:eastAsia="Times New Roman" w:hAnsi="Arial" w:cs="Arial"/>
                                  <w:color w:val="444444"/>
                                  <w:sz w:val="21"/>
                                  <w:szCs w:val="21"/>
                                </w:rPr>
                                <w:t>remdesivir</w:t>
                              </w:r>
                              <w:proofErr w:type="spellEnd"/>
                              <w:r>
                                <w:rPr>
                                  <w:rFonts w:ascii="Arial" w:eastAsia="Times New Roman" w:hAnsi="Arial" w:cs="Arial"/>
                                  <w:color w:val="444444"/>
                                  <w:sz w:val="21"/>
                                  <w:szCs w:val="21"/>
                                </w:rPr>
                                <w:t xml:space="preserve"> (infusion)</w:t>
                              </w:r>
                            </w:p>
                          </w:tc>
                        </w:tr>
                        <w:tr w:rsidR="00D668C2">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Fonts w:ascii="Arial" w:eastAsia="Times New Roman" w:hAnsi="Symbol" w:cs="Arial"/>
                                  <w:color w:val="444444"/>
                                  <w:sz w:val="21"/>
                                  <w:szCs w:val="21"/>
                                </w:rPr>
                                <w:t></w:t>
                              </w:r>
                              <w:r>
                                <w:rPr>
                                  <w:rFonts w:ascii="Arial" w:eastAsia="Times New Roman" w:hAnsi="Arial" w:cs="Arial"/>
                                  <w:color w:val="444444"/>
                                  <w:sz w:val="21"/>
                                  <w:szCs w:val="21"/>
                                </w:rPr>
                                <w:t xml:space="preserve">  </w:t>
                              </w:r>
                              <w:proofErr w:type="spellStart"/>
                              <w:r>
                                <w:rPr>
                                  <w:rFonts w:ascii="Arial" w:eastAsia="Times New Roman" w:hAnsi="Arial" w:cs="Arial"/>
                                  <w:color w:val="444444"/>
                                  <w:sz w:val="21"/>
                                  <w:szCs w:val="21"/>
                                </w:rPr>
                                <w:t>Evusheld</w:t>
                              </w:r>
                              <w:proofErr w:type="spellEnd"/>
                              <w:r>
                                <w:rPr>
                                  <w:rFonts w:ascii="Arial" w:eastAsia="Times New Roman" w:hAnsi="Arial" w:cs="Arial"/>
                                  <w:color w:val="444444"/>
                                  <w:sz w:val="21"/>
                                  <w:szCs w:val="21"/>
                                </w:rPr>
                                <w:t xml:space="preserve"> (pre-exposure prophylaxis use only) </w:t>
                              </w:r>
                            </w:p>
                          </w:tc>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Fonts w:ascii="Arial" w:eastAsia="Times New Roman" w:hAnsi="Symbol" w:cs="Arial"/>
                                  <w:color w:val="444444"/>
                                  <w:sz w:val="21"/>
                                  <w:szCs w:val="21"/>
                                </w:rPr>
                                <w:t></w:t>
                              </w:r>
                              <w:r>
                                <w:rPr>
                                  <w:rFonts w:ascii="Arial" w:eastAsia="Times New Roman" w:hAnsi="Arial" w:cs="Arial"/>
                                  <w:color w:val="444444"/>
                                  <w:sz w:val="21"/>
                                  <w:szCs w:val="21"/>
                                </w:rPr>
                                <w:t xml:space="preserve">  </w:t>
                              </w:r>
                              <w:proofErr w:type="spellStart"/>
                              <w:r>
                                <w:rPr>
                                  <w:rFonts w:ascii="Arial" w:eastAsia="Times New Roman" w:hAnsi="Arial" w:cs="Arial"/>
                                  <w:color w:val="444444"/>
                                  <w:sz w:val="21"/>
                                  <w:szCs w:val="21"/>
                                </w:rPr>
                                <w:t>Plaxovid</w:t>
                              </w:r>
                              <w:proofErr w:type="spellEnd"/>
                              <w:r>
                                <w:rPr>
                                  <w:rFonts w:ascii="Arial" w:eastAsia="Times New Roman" w:hAnsi="Arial" w:cs="Arial"/>
                                  <w:color w:val="444444"/>
                                  <w:sz w:val="21"/>
                                  <w:szCs w:val="21"/>
                                </w:rPr>
                                <w:t xml:space="preserve"> (oral)</w:t>
                              </w:r>
                            </w:p>
                          </w:tc>
                        </w:tr>
                        <w:tr w:rsidR="00D668C2">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Fonts w:ascii="Arial" w:eastAsia="Times New Roman" w:hAnsi="Arial" w:cs="Arial"/>
                                  <w:color w:val="444444"/>
                                  <w:sz w:val="21"/>
                                  <w:szCs w:val="21"/>
                                </w:rPr>
                                <w:t> </w:t>
                              </w:r>
                            </w:p>
                          </w:tc>
                          <w:tc>
                            <w:tcPr>
                              <w:tcW w:w="0" w:type="auto"/>
                              <w:tcMar>
                                <w:top w:w="15" w:type="dxa"/>
                                <w:left w:w="15" w:type="dxa"/>
                                <w:bottom w:w="15" w:type="dxa"/>
                                <w:right w:w="15" w:type="dxa"/>
                              </w:tcMar>
                              <w:vAlign w:val="center"/>
                              <w:hideMark/>
                            </w:tcPr>
                            <w:p w:rsidR="00D668C2" w:rsidRDefault="00D668C2">
                              <w:pPr>
                                <w:spacing w:line="270" w:lineRule="atLeast"/>
                                <w:rPr>
                                  <w:rFonts w:ascii="Arial" w:eastAsia="Times New Roman" w:hAnsi="Arial" w:cs="Arial"/>
                                  <w:color w:val="444444"/>
                                  <w:sz w:val="21"/>
                                  <w:szCs w:val="21"/>
                                </w:rPr>
                              </w:pPr>
                              <w:r>
                                <w:rPr>
                                  <w:rFonts w:ascii="Arial" w:eastAsia="Times New Roman" w:hAnsi="Symbol" w:cs="Arial"/>
                                  <w:color w:val="444444"/>
                                  <w:sz w:val="21"/>
                                  <w:szCs w:val="21"/>
                                </w:rPr>
                                <w:t></w:t>
                              </w:r>
                              <w:r>
                                <w:rPr>
                                  <w:rFonts w:ascii="Arial" w:eastAsia="Times New Roman" w:hAnsi="Arial" w:cs="Arial"/>
                                  <w:color w:val="444444"/>
                                  <w:sz w:val="21"/>
                                  <w:szCs w:val="21"/>
                                </w:rPr>
                                <w:t xml:space="preserve">  </w:t>
                              </w:r>
                              <w:proofErr w:type="spellStart"/>
                              <w:r>
                                <w:rPr>
                                  <w:rFonts w:ascii="Arial" w:eastAsia="Times New Roman" w:hAnsi="Arial" w:cs="Arial"/>
                                  <w:color w:val="444444"/>
                                  <w:sz w:val="21"/>
                                  <w:szCs w:val="21"/>
                                </w:rPr>
                                <w:t>molnupieravir</w:t>
                              </w:r>
                              <w:proofErr w:type="spellEnd"/>
                              <w:r>
                                <w:rPr>
                                  <w:rFonts w:ascii="Arial" w:eastAsia="Times New Roman" w:hAnsi="Arial" w:cs="Arial"/>
                                  <w:color w:val="444444"/>
                                  <w:sz w:val="21"/>
                                  <w:szCs w:val="21"/>
                                </w:rPr>
                                <w:t xml:space="preserve"> (oral)</w:t>
                              </w:r>
                            </w:p>
                          </w:tc>
                        </w:tr>
                      </w:tbl>
                      <w:p w:rsidR="00D668C2" w:rsidRDefault="00D668C2">
                        <w:pPr>
                          <w:rPr>
                            <w:rFonts w:eastAsia="Times New Roman"/>
                          </w:rPr>
                        </w:pPr>
                      </w:p>
                    </w:tc>
                  </w:tr>
                </w:tbl>
                <w:p w:rsidR="00D668C2" w:rsidRDefault="00D668C2">
                  <w:pPr>
                    <w:rPr>
                      <w:rFonts w:eastAsia="Times New Roman"/>
                      <w:sz w:val="20"/>
                      <w:szCs w:val="20"/>
                    </w:rPr>
                  </w:pPr>
                </w:p>
              </w:tc>
            </w:tr>
            <w:tr w:rsidR="00D668C2">
              <w:trPr>
                <w:jc w:val="center"/>
              </w:trPr>
              <w:tc>
                <w:tcPr>
                  <w:tcW w:w="0" w:type="auto"/>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0" w:type="dxa"/>
                          <w:left w:w="150" w:type="dxa"/>
                          <w:bottom w:w="450" w:type="dxa"/>
                          <w:right w:w="150" w:type="dxa"/>
                        </w:tcMar>
                        <w:vAlign w:val="center"/>
                        <w:hideMark/>
                      </w:tcPr>
                      <w:p w:rsidR="00D668C2" w:rsidRDefault="00D668C2">
                        <w:pPr>
                          <w:pStyle w:val="NormalWeb"/>
                          <w:spacing w:before="0" w:beforeAutospacing="0" w:after="300" w:afterAutospacing="0" w:line="330" w:lineRule="atLeast"/>
                          <w:rPr>
                            <w:rFonts w:ascii="Arial" w:hAnsi="Arial" w:cs="Arial"/>
                            <w:color w:val="444444"/>
                            <w:sz w:val="21"/>
                            <w:szCs w:val="21"/>
                          </w:rPr>
                        </w:pPr>
                        <w:r>
                          <w:rPr>
                            <w:rFonts w:ascii="Arial" w:hAnsi="Arial" w:cs="Arial"/>
                            <w:color w:val="444444"/>
                            <w:sz w:val="21"/>
                            <w:szCs w:val="21"/>
                          </w:rPr>
                          <w:t xml:space="preserve">On Jan. 24, 2022, the </w:t>
                        </w:r>
                        <w:hyperlink r:id="rId11" w:history="1">
                          <w:r>
                            <w:rPr>
                              <w:rStyle w:val="Hyperlink"/>
                              <w:rFonts w:ascii="Arial" w:hAnsi="Arial" w:cs="Arial"/>
                              <w:b/>
                              <w:bCs/>
                              <w:sz w:val="21"/>
                              <w:szCs w:val="21"/>
                            </w:rPr>
                            <w:t>FDA revised the authorizations</w:t>
                          </w:r>
                        </w:hyperlink>
                        <w:r>
                          <w:rPr>
                            <w:rFonts w:ascii="Arial" w:hAnsi="Arial" w:cs="Arial"/>
                            <w:color w:val="444444"/>
                            <w:sz w:val="21"/>
                            <w:szCs w:val="21"/>
                          </w:rPr>
                          <w:t xml:space="preserve"> for 2 monoclonal antibody treatments — </w:t>
                        </w:r>
                        <w:proofErr w:type="spellStart"/>
                        <w:r>
                          <w:rPr>
                            <w:rFonts w:ascii="Arial" w:hAnsi="Arial" w:cs="Arial"/>
                            <w:color w:val="444444"/>
                            <w:sz w:val="21"/>
                            <w:szCs w:val="21"/>
                          </w:rPr>
                          <w:t>bamlanivimab</w:t>
                        </w:r>
                        <w:proofErr w:type="spellEnd"/>
                        <w:r>
                          <w:rPr>
                            <w:rFonts w:ascii="Arial" w:hAnsi="Arial" w:cs="Arial"/>
                            <w:color w:val="444444"/>
                            <w:sz w:val="21"/>
                            <w:szCs w:val="21"/>
                          </w:rPr>
                          <w:t xml:space="preserve"> and </w:t>
                        </w:r>
                        <w:proofErr w:type="spellStart"/>
                        <w:r>
                          <w:rPr>
                            <w:rFonts w:ascii="Arial" w:hAnsi="Arial" w:cs="Arial"/>
                            <w:color w:val="444444"/>
                            <w:sz w:val="21"/>
                            <w:szCs w:val="21"/>
                          </w:rPr>
                          <w:t>etesevimab</w:t>
                        </w:r>
                        <w:proofErr w:type="spellEnd"/>
                        <w:r>
                          <w:rPr>
                            <w:rFonts w:ascii="Arial" w:hAnsi="Arial" w:cs="Arial"/>
                            <w:color w:val="444444"/>
                            <w:sz w:val="21"/>
                            <w:szCs w:val="21"/>
                          </w:rPr>
                          <w:t xml:space="preserve"> (administered together) and REGEN-COV (</w:t>
                        </w:r>
                        <w:proofErr w:type="spellStart"/>
                        <w:r>
                          <w:rPr>
                            <w:rFonts w:ascii="Arial" w:hAnsi="Arial" w:cs="Arial"/>
                            <w:color w:val="444444"/>
                            <w:sz w:val="21"/>
                            <w:szCs w:val="21"/>
                          </w:rPr>
                          <w:t>casirivimab</w:t>
                        </w:r>
                        <w:proofErr w:type="spellEnd"/>
                        <w:r>
                          <w:rPr>
                            <w:rFonts w:ascii="Arial" w:hAnsi="Arial" w:cs="Arial"/>
                            <w:color w:val="444444"/>
                            <w:sz w:val="21"/>
                            <w:szCs w:val="21"/>
                          </w:rPr>
                          <w:t xml:space="preserve"> and </w:t>
                        </w:r>
                        <w:proofErr w:type="spellStart"/>
                        <w:r>
                          <w:rPr>
                            <w:rFonts w:ascii="Arial" w:hAnsi="Arial" w:cs="Arial"/>
                            <w:color w:val="444444"/>
                            <w:sz w:val="21"/>
                            <w:szCs w:val="21"/>
                          </w:rPr>
                          <w:t>imdevimab</w:t>
                        </w:r>
                        <w:proofErr w:type="spellEnd"/>
                        <w:r>
                          <w:rPr>
                            <w:rFonts w:ascii="Arial" w:hAnsi="Arial" w:cs="Arial"/>
                            <w:color w:val="444444"/>
                            <w:sz w:val="21"/>
                            <w:szCs w:val="21"/>
                          </w:rPr>
                          <w:t xml:space="preserve">. In light of the FDA’s decision, UnitedHealthcare will continue </w:t>
                        </w:r>
                        <w:r>
                          <w:rPr>
                            <w:rFonts w:ascii="Arial" w:hAnsi="Arial" w:cs="Arial"/>
                            <w:color w:val="444444"/>
                            <w:sz w:val="21"/>
                            <w:szCs w:val="21"/>
                          </w:rPr>
                          <w:lastRenderedPageBreak/>
                          <w:t>to reimburse claims for these treatments for dates of service through Jan. 31, 2022. Claims for these treatments on or after Feb. 1, 2022 will be denied.</w:t>
                        </w:r>
                        <w:r>
                          <w:rPr>
                            <w:rFonts w:ascii="Arial" w:hAnsi="Arial" w:cs="Arial"/>
                            <w:color w:val="444444"/>
                            <w:sz w:val="21"/>
                            <w:szCs w:val="21"/>
                          </w:rPr>
                          <w:br/>
                        </w:r>
                        <w:r>
                          <w:rPr>
                            <w:rFonts w:ascii="Arial" w:hAnsi="Arial" w:cs="Arial"/>
                            <w:color w:val="444444"/>
                            <w:sz w:val="21"/>
                            <w:szCs w:val="21"/>
                          </w:rPr>
                          <w:br/>
                          <w:t xml:space="preserve">These treatments are no longer authorized for use in any U.S. state, territory or jurisdiction to treat COVID-19. This decision was made because data shows these treatments are highly unlikely to be effective against the Omicron variant, which is now the predominant variant in the U.S. </w:t>
                        </w:r>
                      </w:p>
                    </w:tc>
                  </w:tr>
                </w:tbl>
                <w:p w:rsidR="00D668C2" w:rsidRDefault="00D668C2">
                  <w:pPr>
                    <w:jc w:val="center"/>
                    <w:rPr>
                      <w:rFonts w:eastAsia="Times New Roman"/>
                      <w:sz w:val="20"/>
                      <w:szCs w:val="20"/>
                    </w:rPr>
                  </w:pPr>
                </w:p>
              </w:tc>
            </w:tr>
            <w:tr w:rsidR="00D668C2">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450" w:type="dxa"/>
                          <w:right w:w="150" w:type="dxa"/>
                        </w:tcMar>
                        <w:vAlign w:val="center"/>
                        <w:hideMark/>
                      </w:tcPr>
                      <w:p w:rsidR="00D668C2" w:rsidRDefault="00D668C2">
                        <w:pPr>
                          <w:pStyle w:val="Heading2"/>
                          <w:spacing w:before="0" w:beforeAutospacing="0" w:after="75" w:afterAutospacing="0" w:line="450" w:lineRule="atLeast"/>
                          <w:jc w:val="center"/>
                          <w:rPr>
                            <w:rFonts w:ascii="Georgia" w:eastAsia="Times New Roman" w:hAnsi="Georgia" w:cs="Arial"/>
                            <w:color w:val="FFFFFF"/>
                          </w:rPr>
                        </w:pPr>
                        <w:r>
                          <w:rPr>
                            <w:rFonts w:ascii="Georgia" w:eastAsia="Times New Roman" w:hAnsi="Georgia" w:cs="Arial"/>
                            <w:color w:val="FFFFFF"/>
                          </w:rPr>
                          <w:lastRenderedPageBreak/>
                          <w:t>Reminder: CMS billing change effective Jan. 1, 2022</w:t>
                        </w:r>
                      </w:p>
                    </w:tc>
                  </w:tr>
                </w:tbl>
                <w:p w:rsidR="00D668C2" w:rsidRDefault="00D668C2">
                  <w:pPr>
                    <w:jc w:val="center"/>
                    <w:rPr>
                      <w:rFonts w:eastAsia="Times New Roman"/>
                      <w:sz w:val="20"/>
                      <w:szCs w:val="20"/>
                    </w:rPr>
                  </w:pPr>
                </w:p>
              </w:tc>
            </w:tr>
            <w:tr w:rsidR="00D668C2">
              <w:trPr>
                <w:jc w:val="center"/>
              </w:trPr>
              <w:tc>
                <w:tcPr>
                  <w:tcW w:w="0" w:type="auto"/>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450" w:type="dxa"/>
                          <w:left w:w="150" w:type="dxa"/>
                          <w:bottom w:w="0" w:type="dxa"/>
                          <w:right w:w="150" w:type="dxa"/>
                        </w:tcMar>
                        <w:vAlign w:val="center"/>
                        <w:hideMark/>
                      </w:tcPr>
                      <w:p w:rsidR="00D668C2" w:rsidRDefault="00D668C2">
                        <w:pPr>
                          <w:pStyle w:val="NormalWeb"/>
                          <w:spacing w:before="0" w:beforeAutospacing="0" w:after="300" w:afterAutospacing="0" w:line="330" w:lineRule="atLeast"/>
                          <w:rPr>
                            <w:rFonts w:ascii="Arial" w:hAnsi="Arial" w:cs="Arial"/>
                            <w:color w:val="444444"/>
                            <w:sz w:val="21"/>
                            <w:szCs w:val="21"/>
                          </w:rPr>
                        </w:pPr>
                        <w:r>
                          <w:rPr>
                            <w:rFonts w:ascii="Arial" w:hAnsi="Arial" w:cs="Arial"/>
                            <w:color w:val="444444"/>
                            <w:sz w:val="21"/>
                            <w:szCs w:val="21"/>
                          </w:rPr>
                          <w:t xml:space="preserve">Effective Jan. 1, 2022, health care professionals who administer the COVID-19 vaccine serum or monoclonal antibody treatment to Medicare Advantage members should submit medical claims through the UnitedHealthcare </w:t>
                        </w:r>
                        <w:hyperlink r:id="rId12" w:history="1">
                          <w:r>
                            <w:rPr>
                              <w:rStyle w:val="Hyperlink"/>
                              <w:rFonts w:ascii="Arial" w:hAnsi="Arial" w:cs="Arial"/>
                              <w:b/>
                              <w:bCs/>
                              <w:sz w:val="21"/>
                              <w:szCs w:val="21"/>
                            </w:rPr>
                            <w:t>standard claims process</w:t>
                          </w:r>
                        </w:hyperlink>
                        <w:r>
                          <w:rPr>
                            <w:rFonts w:ascii="Arial" w:hAnsi="Arial" w:cs="Arial"/>
                            <w:color w:val="444444"/>
                            <w:sz w:val="21"/>
                            <w:szCs w:val="21"/>
                          </w:rPr>
                          <w:t>.</w:t>
                        </w:r>
                        <w:r>
                          <w:rPr>
                            <w:rFonts w:ascii="Arial" w:hAnsi="Arial" w:cs="Arial"/>
                            <w:color w:val="444444"/>
                            <w:sz w:val="21"/>
                            <w:szCs w:val="21"/>
                          </w:rPr>
                          <w:br/>
                        </w:r>
                        <w:r>
                          <w:rPr>
                            <w:rFonts w:ascii="Arial" w:hAnsi="Arial" w:cs="Arial"/>
                            <w:color w:val="444444"/>
                            <w:sz w:val="21"/>
                            <w:szCs w:val="21"/>
                          </w:rPr>
                          <w:br/>
                          <w:t xml:space="preserve">For services rendered through Dec. 31, 2021, claims should be billed to the applicable Centers for Medicare &amp; Medicaid Services (CMS) </w:t>
                        </w:r>
                        <w:hyperlink r:id="rId13" w:history="1">
                          <w:r>
                            <w:rPr>
                              <w:rStyle w:val="Hyperlink"/>
                              <w:rFonts w:ascii="Arial" w:hAnsi="Arial" w:cs="Arial"/>
                              <w:b/>
                              <w:bCs/>
                              <w:sz w:val="21"/>
                              <w:szCs w:val="21"/>
                            </w:rPr>
                            <w:t>Medicare Administrative Contractor (MAC)</w:t>
                          </w:r>
                        </w:hyperlink>
                        <w:r>
                          <w:rPr>
                            <w:rFonts w:ascii="Arial" w:hAnsi="Arial" w:cs="Arial"/>
                            <w:color w:val="444444"/>
                            <w:sz w:val="21"/>
                            <w:szCs w:val="21"/>
                          </w:rPr>
                          <w:t>, as previously established for reimbursement of these claims.</w:t>
                        </w:r>
                      </w:p>
                    </w:tc>
                  </w:tr>
                </w:tbl>
                <w:p w:rsidR="00D668C2" w:rsidRDefault="00D668C2">
                  <w:pPr>
                    <w:jc w:val="center"/>
                    <w:rPr>
                      <w:rFonts w:eastAsia="Times New Roman"/>
                      <w:sz w:val="20"/>
                      <w:szCs w:val="20"/>
                    </w:rPr>
                  </w:pPr>
                </w:p>
              </w:tc>
            </w:tr>
            <w:tr w:rsidR="00D668C2">
              <w:trPr>
                <w:jc w:val="center"/>
              </w:trPr>
              <w:tc>
                <w:tcPr>
                  <w:tcW w:w="0" w:type="auto"/>
                  <w:shd w:val="clear" w:color="auto" w:fill="F1F2F2"/>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668C2">
                    <w:trPr>
                      <w:jc w:val="center"/>
                    </w:trPr>
                    <w:tc>
                      <w:tcPr>
                        <w:tcW w:w="0" w:type="auto"/>
                        <w:tcMar>
                          <w:top w:w="300" w:type="dxa"/>
                          <w:left w:w="150" w:type="dxa"/>
                          <w:bottom w:w="300" w:type="dxa"/>
                          <w:right w:w="150" w:type="dxa"/>
                        </w:tcMar>
                        <w:vAlign w:val="center"/>
                        <w:hideMark/>
                      </w:tcPr>
                      <w:p w:rsidR="00D668C2" w:rsidRDefault="00D668C2">
                        <w:pPr>
                          <w:pStyle w:val="NormalWeb"/>
                          <w:spacing w:before="0" w:beforeAutospacing="0" w:after="0" w:afterAutospacing="0" w:line="330" w:lineRule="atLeast"/>
                          <w:rPr>
                            <w:rFonts w:ascii="Arial" w:hAnsi="Arial" w:cs="Arial"/>
                            <w:color w:val="444444"/>
                            <w:sz w:val="21"/>
                            <w:szCs w:val="21"/>
                          </w:rPr>
                        </w:pPr>
                        <w:r>
                          <w:rPr>
                            <w:rFonts w:ascii="Arial" w:hAnsi="Arial" w:cs="Arial"/>
                            <w:color w:val="444444"/>
                            <w:sz w:val="21"/>
                            <w:szCs w:val="21"/>
                          </w:rPr>
                          <w:t>We’re working closely with CMS, the FDA, the federal government and state agencies to monitor developments and update information as quickly as possible.</w:t>
                        </w:r>
                      </w:p>
                    </w:tc>
                  </w:tr>
                </w:tbl>
                <w:p w:rsidR="00D668C2" w:rsidRDefault="00D668C2">
                  <w:pPr>
                    <w:jc w:val="center"/>
                    <w:rPr>
                      <w:rFonts w:eastAsia="Times New Roman"/>
                      <w:sz w:val="20"/>
                      <w:szCs w:val="20"/>
                    </w:rPr>
                  </w:pPr>
                </w:p>
              </w:tc>
            </w:tr>
            <w:tr w:rsidR="00D668C2">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D668C2">
                    <w:trPr>
                      <w:jc w:val="center"/>
                    </w:trPr>
                    <w:tc>
                      <w:tcPr>
                        <w:tcW w:w="960" w:type="dxa"/>
                        <w:tcMar>
                          <w:top w:w="375" w:type="dxa"/>
                          <w:left w:w="75" w:type="dxa"/>
                          <w:bottom w:w="375" w:type="dxa"/>
                          <w:right w:w="0" w:type="dxa"/>
                        </w:tcMar>
                        <w:vAlign w:val="center"/>
                        <w:hideMark/>
                      </w:tcPr>
                      <w:p w:rsidR="00D668C2" w:rsidRDefault="00D668C2">
                        <w:pPr>
                          <w:spacing w:line="300" w:lineRule="atLeast"/>
                          <w:rPr>
                            <w:rFonts w:eastAsia="Times New Roman"/>
                          </w:rPr>
                        </w:pPr>
                        <w:r>
                          <w:rPr>
                            <w:rFonts w:eastAsia="Times New Roman"/>
                            <w:noProof/>
                          </w:rPr>
                          <w:drawing>
                            <wp:inline distT="0" distB="0" distL="0" distR="0">
                              <wp:extent cx="609600" cy="609600"/>
                              <wp:effectExtent l="0" t="0" r="0" b="0"/>
                              <wp:docPr id="2" name="Picture 2" descr="https://image.benefits.unitedhealthcare.com/lib/fe631570726c05787512/m/12/152d24bd-d7cd-49d2-81dd-c0d9ba8c8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benefits.unitedhealthcare.com/lib/fe631570726c05787512/m/12/152d24bd-d7cd-49d2-81dd-c0d9ba8c85a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D668C2" w:rsidRDefault="00D668C2">
                        <w:pPr>
                          <w:pStyle w:val="NormalWeb"/>
                          <w:spacing w:before="0" w:beforeAutospacing="0" w:after="0" w:afterAutospacing="0" w:line="300" w:lineRule="atLeast"/>
                          <w:rPr>
                            <w:rFonts w:ascii="Arial" w:hAnsi="Arial" w:cs="Arial"/>
                            <w:color w:val="002677"/>
                            <w:sz w:val="21"/>
                            <w:szCs w:val="21"/>
                          </w:rPr>
                        </w:pPr>
                        <w:r>
                          <w:rPr>
                            <w:rFonts w:ascii="Arial" w:hAnsi="Arial" w:cs="Arial"/>
                            <w:color w:val="002677"/>
                            <w:sz w:val="21"/>
                            <w:szCs w:val="21"/>
                          </w:rPr>
                          <w:t>We appreciate your continued focus on putting patient care first during the COVID-19 national public health emergency. You are providing exceptional care in unprecedented circumstances. We recognize the sacrifices you make, the long hours you work, the unrelenting demand on your medical expertise. We are deeply grateful for everything you do. And on behalf of UnitedHealthcare employees and members, we thank you.</w:t>
                        </w:r>
                      </w:p>
                    </w:tc>
                  </w:tr>
                </w:tbl>
                <w:p w:rsidR="00D668C2" w:rsidRDefault="00D668C2">
                  <w:pPr>
                    <w:jc w:val="center"/>
                    <w:rPr>
                      <w:rFonts w:eastAsia="Times New Roman"/>
                      <w:sz w:val="20"/>
                      <w:szCs w:val="20"/>
                    </w:rPr>
                  </w:pPr>
                </w:p>
              </w:tc>
            </w:tr>
            <w:tr w:rsidR="00D668C2">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668C2">
                    <w:trPr>
                      <w:jc w:val="center"/>
                    </w:trPr>
                    <w:tc>
                      <w:tcPr>
                        <w:tcW w:w="0" w:type="auto"/>
                        <w:tcMar>
                          <w:top w:w="300" w:type="dxa"/>
                          <w:left w:w="150" w:type="dxa"/>
                          <w:bottom w:w="450" w:type="dxa"/>
                          <w:right w:w="150" w:type="dxa"/>
                        </w:tcMar>
                        <w:hideMark/>
                      </w:tcPr>
                      <w:p w:rsidR="00D668C2" w:rsidRDefault="00D668C2">
                        <w:pPr>
                          <w:pStyle w:val="NormalWeb"/>
                          <w:spacing w:line="270" w:lineRule="atLeast"/>
                          <w:rPr>
                            <w:rFonts w:ascii="Arial" w:hAnsi="Arial" w:cs="Arial"/>
                            <w:color w:val="636363"/>
                            <w:sz w:val="17"/>
                            <w:szCs w:val="17"/>
                          </w:rPr>
                        </w:pPr>
                        <w:r>
                          <w:rPr>
                            <w:rFonts w:ascii="Arial" w:hAnsi="Arial" w:cs="Arial"/>
                            <w:color w:val="636363"/>
                            <w:sz w:val="17"/>
                            <w:szCs w:val="17"/>
                          </w:rPr>
                          <w:lastRenderedPageBreak/>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636363"/>
                            <w:sz w:val="17"/>
                            <w:szCs w:val="17"/>
                          </w:rPr>
                          <w:t>OptumHealth</w:t>
                        </w:r>
                        <w:proofErr w:type="spellEnd"/>
                        <w:r>
                          <w:rPr>
                            <w:rFonts w:ascii="Arial" w:hAnsi="Arial" w:cs="Arial"/>
                            <w:color w:val="636363"/>
                            <w:sz w:val="17"/>
                            <w:szCs w:val="17"/>
                          </w:rPr>
                          <w:t xml:space="preserve"> Care Solutions, LLC, </w:t>
                        </w:r>
                        <w:proofErr w:type="spellStart"/>
                        <w:r>
                          <w:rPr>
                            <w:rFonts w:ascii="Arial" w:hAnsi="Arial" w:cs="Arial"/>
                            <w:color w:val="636363"/>
                            <w:sz w:val="17"/>
                            <w:szCs w:val="17"/>
                          </w:rPr>
                          <w:t>OptumRx</w:t>
                        </w:r>
                        <w:proofErr w:type="spellEnd"/>
                        <w:r>
                          <w:rPr>
                            <w:rFonts w:ascii="Arial" w:hAnsi="Arial" w:cs="Arial"/>
                            <w:color w:val="636363"/>
                            <w:sz w:val="17"/>
                            <w:szCs w:val="17"/>
                          </w:rPr>
                          <w:t xml:space="preserve">, Oxford Health Plans LLC, United HealthCare Services, Inc., or other affiliates. Behavioral health products provided by U.S. Behavioral Health Plan, California (USBHPC), or its affiliates. </w:t>
                        </w:r>
                        <w:r>
                          <w:rPr>
                            <w:rFonts w:ascii="Arial" w:hAnsi="Arial" w:cs="Arial"/>
                            <w:color w:val="636363"/>
                            <w:sz w:val="17"/>
                            <w:szCs w:val="17"/>
                          </w:rPr>
                          <w:br/>
                        </w:r>
                        <w:r>
                          <w:rPr>
                            <w:rFonts w:ascii="Arial" w:hAnsi="Arial" w:cs="Arial"/>
                            <w:color w:val="636363"/>
                            <w:sz w:val="17"/>
                            <w:szCs w:val="17"/>
                          </w:rPr>
                          <w:br/>
                          <w:t>PCA-1-22-00172-MarComm-EM_01282022</w:t>
                        </w:r>
                      </w:p>
                      <w:p w:rsidR="00D668C2" w:rsidRDefault="00D668C2">
                        <w:pPr>
                          <w:pStyle w:val="NormalWeb"/>
                          <w:spacing w:line="270" w:lineRule="atLeast"/>
                          <w:rPr>
                            <w:rFonts w:ascii="Arial" w:hAnsi="Arial" w:cs="Arial"/>
                            <w:color w:val="636363"/>
                            <w:sz w:val="17"/>
                            <w:szCs w:val="17"/>
                          </w:rPr>
                        </w:pPr>
                        <w:r>
                          <w:rPr>
                            <w:rFonts w:ascii="Arial" w:hAnsi="Arial" w:cs="Arial"/>
                            <w:color w:val="636363"/>
                            <w:sz w:val="17"/>
                            <w:szCs w:val="17"/>
                          </w:rPr>
                          <w:t>© 2022 United HealthCare Services, Inc. All Rights Reserved.</w:t>
                        </w:r>
                        <w:r>
                          <w:rPr>
                            <w:rFonts w:ascii="Arial" w:hAnsi="Arial" w:cs="Arial"/>
                            <w:color w:val="636363"/>
                            <w:sz w:val="17"/>
                            <w:szCs w:val="17"/>
                          </w:rPr>
                          <w:br/>
                        </w:r>
                        <w:r>
                          <w:rPr>
                            <w:rFonts w:ascii="Arial" w:hAnsi="Arial" w:cs="Arial"/>
                            <w:color w:val="636363"/>
                            <w:sz w:val="17"/>
                            <w:szCs w:val="17"/>
                          </w:rPr>
                          <w:br/>
                          <w:t xml:space="preserve">This is a message from UnitedHealthcare. You are receiving this email because you are either a registered user of </w:t>
                        </w:r>
                        <w:hyperlink r:id="rId15" w:history="1">
                          <w:r>
                            <w:rPr>
                              <w:rStyle w:val="Hyperlink"/>
                              <w:rFonts w:ascii="Arial" w:hAnsi="Arial" w:cs="Arial"/>
                              <w:color w:val="666666"/>
                              <w:sz w:val="17"/>
                              <w:szCs w:val="17"/>
                            </w:rPr>
                            <w:t>UHCprovider.com</w:t>
                          </w:r>
                        </w:hyperlink>
                        <w:r>
                          <w:rPr>
                            <w:rFonts w:ascii="Arial" w:hAnsi="Arial" w:cs="Arial"/>
                            <w:color w:val="636363"/>
                            <w:sz w:val="17"/>
                            <w:szCs w:val="17"/>
                          </w:rPr>
                          <w:t xml:space="preserve"> or have contracted or subscribed to receive email communications from UnitedHealthcare. We respect your right to privacy. Visit our website to read our </w:t>
                        </w:r>
                        <w:hyperlink r:id="rId16" w:history="1">
                          <w:r>
                            <w:rPr>
                              <w:rStyle w:val="Hyperlink"/>
                              <w:rFonts w:ascii="Arial" w:hAnsi="Arial" w:cs="Arial"/>
                              <w:color w:val="666666"/>
                              <w:sz w:val="17"/>
                              <w:szCs w:val="17"/>
                            </w:rPr>
                            <w:t>Privacy Policy</w:t>
                          </w:r>
                        </w:hyperlink>
                        <w:r>
                          <w:rPr>
                            <w:rFonts w:ascii="Arial" w:hAnsi="Arial" w:cs="Arial"/>
                            <w:color w:val="636363"/>
                            <w:sz w:val="17"/>
                            <w:szCs w:val="17"/>
                          </w:rPr>
                          <w:t xml:space="preserve"> and </w:t>
                        </w:r>
                        <w:hyperlink r:id="rId17" w:history="1">
                          <w:r>
                            <w:rPr>
                              <w:rStyle w:val="Hyperlink"/>
                              <w:rFonts w:ascii="Arial" w:hAnsi="Arial" w:cs="Arial"/>
                              <w:color w:val="666666"/>
                              <w:sz w:val="17"/>
                              <w:szCs w:val="17"/>
                            </w:rPr>
                            <w:t>Security Notice</w:t>
                          </w:r>
                        </w:hyperlink>
                        <w:r>
                          <w:rPr>
                            <w:rFonts w:ascii="Arial" w:hAnsi="Arial" w:cs="Arial"/>
                            <w:color w:val="636363"/>
                            <w:sz w:val="17"/>
                            <w:szCs w:val="17"/>
                          </w:rPr>
                          <w:t>. To unsubscribe from future email communications or to change your email address, visit our email preferences page.</w:t>
                        </w:r>
                      </w:p>
                    </w:tc>
                  </w:tr>
                </w:tbl>
                <w:p w:rsidR="00D668C2" w:rsidRDefault="00D668C2">
                  <w:pPr>
                    <w:jc w:val="center"/>
                    <w:rPr>
                      <w:rFonts w:eastAsia="Times New Roman"/>
                      <w:sz w:val="20"/>
                      <w:szCs w:val="20"/>
                    </w:rPr>
                  </w:pPr>
                </w:p>
              </w:tc>
            </w:tr>
            <w:tr w:rsidR="00D668C2">
              <w:trPr>
                <w:jc w:val="center"/>
              </w:trPr>
              <w:tc>
                <w:tcPr>
                  <w:tcW w:w="0" w:type="auto"/>
                  <w:shd w:val="clear" w:color="auto" w:fill="F5F5F5"/>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D668C2">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D668C2">
                          <w:tc>
                            <w:tcPr>
                              <w:tcW w:w="2040" w:type="dxa"/>
                              <w:tcMar>
                                <w:top w:w="0" w:type="dxa"/>
                                <w:left w:w="150" w:type="dxa"/>
                                <w:bottom w:w="300" w:type="dxa"/>
                                <w:right w:w="0" w:type="dxa"/>
                              </w:tcMar>
                              <w:hideMark/>
                            </w:tcPr>
                            <w:p w:rsidR="00D668C2" w:rsidRDefault="00D668C2">
                              <w:pPr>
                                <w:rPr>
                                  <w:rFonts w:eastAsia="Times New Roman"/>
                                </w:rPr>
                              </w:pPr>
                              <w:r>
                                <w:rPr>
                                  <w:rFonts w:eastAsia="Times New Roman"/>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Healthca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D668C2" w:rsidRDefault="00D668C2">
                        <w:pPr>
                          <w:rPr>
                            <w:rFonts w:eastAsia="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D668C2">
                          <w:tc>
                            <w:tcPr>
                              <w:tcW w:w="0" w:type="auto"/>
                              <w:tcMar>
                                <w:top w:w="0" w:type="dxa"/>
                                <w:left w:w="150" w:type="dxa"/>
                                <w:bottom w:w="150" w:type="dxa"/>
                                <w:right w:w="0" w:type="dxa"/>
                              </w:tcMar>
                              <w:hideMark/>
                            </w:tcPr>
                            <w:p w:rsidR="00D668C2" w:rsidRDefault="00D668C2">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This email was sent to:</w:t>
                              </w:r>
                              <w:bookmarkStart w:id="0" w:name="_GoBack"/>
                              <w:bookmarkEnd w:id="0"/>
                              <w:r>
                                <w:rPr>
                                  <w:rFonts w:ascii="Arial" w:hAnsi="Arial" w:cs="Arial"/>
                                  <w:color w:val="63666A"/>
                                  <w:sz w:val="17"/>
                                  <w:szCs w:val="17"/>
                                </w:rPr>
                                <w:t xml:space="preserve"> </w:t>
                              </w:r>
                              <w:r>
                                <w:rPr>
                                  <w:rFonts w:ascii="Arial" w:hAnsi="Arial" w:cs="Arial"/>
                                  <w:color w:val="63666A"/>
                                  <w:sz w:val="17"/>
                                  <w:szCs w:val="17"/>
                                </w:rPr>
                                <w:br/>
                                <w:t>This email was sent by:</w:t>
                              </w:r>
                              <w:r>
                                <w:rPr>
                                  <w:rFonts w:ascii="Arial" w:hAnsi="Arial" w:cs="Arial"/>
                                  <w:color w:val="63666A"/>
                                  <w:sz w:val="17"/>
                                  <w:szCs w:val="17"/>
                                </w:rPr>
                                <w:br/>
                                <w:t>UnitedHealthcare</w:t>
                              </w:r>
                              <w:r>
                                <w:rPr>
                                  <w:rFonts w:ascii="Arial" w:hAnsi="Arial" w:cs="Arial"/>
                                  <w:color w:val="63666A"/>
                                  <w:sz w:val="17"/>
                                  <w:szCs w:val="17"/>
                                </w:rPr>
                                <w:br/>
                                <w:t>9700 Health Care Lane, Minnetonka, MN 55343 USA</w:t>
                              </w:r>
                            </w:p>
                            <w:p w:rsidR="00D668C2" w:rsidRDefault="00D668C2">
                              <w:pPr>
                                <w:pStyle w:val="NormalWeb"/>
                                <w:spacing w:line="240" w:lineRule="atLeast"/>
                                <w:rPr>
                                  <w:rFonts w:ascii="Arial" w:hAnsi="Arial" w:cs="Arial"/>
                                  <w:color w:val="63666A"/>
                                  <w:sz w:val="17"/>
                                  <w:szCs w:val="17"/>
                                </w:rPr>
                              </w:pPr>
                              <w:hyperlink r:id="rId19" w:tgtFrame="_blank" w:history="1">
                                <w:r>
                                  <w:rPr>
                                    <w:rStyle w:val="Hyperlink"/>
                                    <w:rFonts w:ascii="Arial" w:hAnsi="Arial" w:cs="Arial"/>
                                    <w:sz w:val="17"/>
                                    <w:szCs w:val="17"/>
                                  </w:rPr>
                                  <w:t>Preference Center</w:t>
                                </w:r>
                              </w:hyperlink>
                              <w:r>
                                <w:rPr>
                                  <w:rFonts w:ascii="Arial" w:hAnsi="Arial" w:cs="Arial"/>
                                  <w:color w:val="63666A"/>
                                  <w:sz w:val="17"/>
                                  <w:szCs w:val="17"/>
                                </w:rPr>
                                <w:t xml:space="preserve"> | </w:t>
                              </w:r>
                              <w:hyperlink r:id="rId20" w:tgtFrame="_blank" w:history="1">
                                <w:r>
                                  <w:rPr>
                                    <w:rStyle w:val="Hyperlink"/>
                                    <w:rFonts w:ascii="Arial" w:hAnsi="Arial" w:cs="Arial"/>
                                    <w:sz w:val="17"/>
                                    <w:szCs w:val="17"/>
                                  </w:rPr>
                                  <w:t>Unsubscribe</w:t>
                                </w:r>
                              </w:hyperlink>
                              <w:r>
                                <w:rPr>
                                  <w:rFonts w:ascii="Arial" w:hAnsi="Arial" w:cs="Arial"/>
                                  <w:color w:val="63666A"/>
                                  <w:sz w:val="17"/>
                                  <w:szCs w:val="17"/>
                                </w:rPr>
                                <w:t xml:space="preserve"> | </w:t>
                              </w:r>
                              <w:hyperlink r:id="rId21" w:tgtFrame="_blank" w:history="1">
                                <w:r>
                                  <w:rPr>
                                    <w:rStyle w:val="Hyperlink"/>
                                    <w:rFonts w:ascii="Arial" w:hAnsi="Arial" w:cs="Arial"/>
                                    <w:sz w:val="17"/>
                                    <w:szCs w:val="17"/>
                                  </w:rPr>
                                  <w:t>Privacy Policy</w:t>
                                </w:r>
                              </w:hyperlink>
                              <w:r>
                                <w:rPr>
                                  <w:rFonts w:ascii="Arial" w:hAnsi="Arial" w:cs="Arial"/>
                                  <w:color w:val="63666A"/>
                                  <w:sz w:val="17"/>
                                  <w:szCs w:val="17"/>
                                </w:rPr>
                                <w:br/>
                              </w:r>
                              <w:r>
                                <w:rPr>
                                  <w:rFonts w:ascii="Arial" w:hAnsi="Arial" w:cs="Arial"/>
                                  <w:color w:val="63666A"/>
                                  <w:sz w:val="17"/>
                                  <w:szCs w:val="17"/>
                                </w:rPr>
                                <w:br/>
                                <w:t>Please do not reply to this email address; this mailbox is used for outbound email only.</w:t>
                              </w:r>
                            </w:p>
                          </w:tc>
                        </w:tr>
                      </w:tbl>
                      <w:p w:rsidR="00D668C2" w:rsidRDefault="00D668C2">
                        <w:pPr>
                          <w:rPr>
                            <w:rFonts w:eastAsia="Times New Roman"/>
                            <w:sz w:val="20"/>
                            <w:szCs w:val="20"/>
                          </w:rPr>
                        </w:pPr>
                      </w:p>
                    </w:tc>
                  </w:tr>
                </w:tbl>
                <w:p w:rsidR="00D668C2" w:rsidRDefault="00D668C2">
                  <w:pPr>
                    <w:jc w:val="center"/>
                    <w:rPr>
                      <w:rFonts w:eastAsia="Times New Roman"/>
                      <w:sz w:val="20"/>
                      <w:szCs w:val="20"/>
                    </w:rPr>
                  </w:pPr>
                </w:p>
              </w:tc>
            </w:tr>
          </w:tbl>
          <w:p w:rsidR="00D668C2" w:rsidRDefault="00D668C2">
            <w:pPr>
              <w:jc w:val="center"/>
              <w:rPr>
                <w:rFonts w:eastAsia="Times New Roman"/>
                <w:sz w:val="20"/>
                <w:szCs w:val="20"/>
              </w:rPr>
            </w:pPr>
          </w:p>
        </w:tc>
      </w:tr>
    </w:tbl>
    <w:p w:rsidR="00152D55" w:rsidRDefault="00152D55"/>
    <w:sectPr w:rsidR="0015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64EAB"/>
    <w:multiLevelType w:val="multilevel"/>
    <w:tmpl w:val="6F40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C2"/>
    <w:rsid w:val="00152D55"/>
    <w:rsid w:val="00D6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5F80-2A4B-40A6-8E87-9AE10E6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C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668C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66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8C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668C2"/>
    <w:rPr>
      <w:rFonts w:ascii="Times New Roman" w:hAnsi="Times New Roman" w:cs="Times New Roman"/>
      <w:b/>
      <w:bCs/>
      <w:sz w:val="36"/>
      <w:szCs w:val="36"/>
    </w:rPr>
  </w:style>
  <w:style w:type="character" w:styleId="Hyperlink">
    <w:name w:val="Hyperlink"/>
    <w:basedOn w:val="DefaultParagraphFont"/>
    <w:uiPriority w:val="99"/>
    <w:semiHidden/>
    <w:unhideWhenUsed/>
    <w:rsid w:val="00D668C2"/>
    <w:rPr>
      <w:color w:val="196ECF"/>
      <w:u w:val="single"/>
    </w:rPr>
  </w:style>
  <w:style w:type="paragraph" w:styleId="NormalWeb">
    <w:name w:val="Normal (Web)"/>
    <w:basedOn w:val="Normal"/>
    <w:uiPriority w:val="99"/>
    <w:semiHidden/>
    <w:unhideWhenUsed/>
    <w:rsid w:val="00D668C2"/>
    <w:pPr>
      <w:spacing w:before="100" w:beforeAutospacing="1" w:after="100" w:afterAutospacing="1"/>
    </w:pPr>
  </w:style>
  <w:style w:type="character" w:styleId="Strong">
    <w:name w:val="Strong"/>
    <w:basedOn w:val="DefaultParagraphFont"/>
    <w:uiPriority w:val="22"/>
    <w:qFormat/>
    <w:rsid w:val="00D66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click.provideremail.uhc.com/?qs=a4ca2a35532815962b50c209aa5fc6aab901487696fffdb46444f28f585e02cb4425cd96f22e4ca95de721c3cf7750d851bb6fcfe0245ec9c9bd403d04aadcf7__;!!KZd1Y3y2zDCptWw!8Ww13lisDwEjPeFvdbAMpE_3IqfI4sRYgU1_S6DHVivPYDAi0zekPcgXYbf4$" TargetMode="External"/><Relationship Id="rId13" Type="http://schemas.openxmlformats.org/officeDocument/2006/relationships/hyperlink" Target="https://urldefense.com/v3/__https:/click.provideremail.uhc.com/?qs=a4ca2a35532815969359d45ed3d075f2b7a6fd7d09e90082d6755668878eb6406e500e6dd6c2915b66d968823263658d277569dc87e61bff8d792d2eed0e4cd5__;!!KZd1Y3y2zDCptWw!8Ww13lisDwEjPeFvdbAMpE_3IqfI4sRYgU1_S6DHVivPYDAi0zekPTCsKC8H$"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urldefense.com/v3/__https:/click.provideremail.uhc.com/?qs=a4ca2a355328159622ef2ddb2eb77b8204b3ea0f26b95bc815d80515c64647b1fa0d1abfbc505beee342779fda417dd68c3b2b5160cd9e2fda9e01dee2187ecd__;!!KZd1Y3y2zDCptWw!8Ww13lisDwEjPeFvdbAMpE_3IqfI4sRYgU1_S6DHVivPYDAi0zekPfH-9AGV$" TargetMode="External"/><Relationship Id="rId7" Type="http://schemas.openxmlformats.org/officeDocument/2006/relationships/hyperlink" Target="https://urldefense.com/v3/__https:/click.provideremail.uhc.com/?qs=a4ca2a3553281596a247dca873ae6ff8ef8bb98f669d03a39560bacf17e63e2911c25a334b2d07131aa2cf4c4b3298147880e7a1c82fc732170cf36b3773479f__;!!KZd1Y3y2zDCptWw!8Ww13lisDwEjPeFvdbAMpE_3IqfI4sRYgU1_S6DHVivPYDAi0zekPVq7gQLM$" TargetMode="External"/><Relationship Id="rId12" Type="http://schemas.openxmlformats.org/officeDocument/2006/relationships/hyperlink" Target="https://urldefense.com/v3/__https:/click.provideremail.uhc.com/?qs=a4ca2a3553281596676e4b7ee082e60daa610d2ba7b6e8e62badfc5400b8acdf57b5b639d52f2b6c66fa082c674a5f5d2440e4ccfb6f2234749a009211a2bc55__;!!KZd1Y3y2zDCptWw!8Ww13lisDwEjPeFvdbAMpE_3IqfI4sRYgU1_S6DHVivPYDAi0zekPS3qn-4R$" TargetMode="External"/><Relationship Id="rId17" Type="http://schemas.openxmlformats.org/officeDocument/2006/relationships/hyperlink" Target="https://urldefense.com/v3/__https:/click.provideremail.uhc.com/?qs=a4ca2a3553281596cc1234fa86b4f9b7d20b80b6958568b90ed4c88803dc8d8a23985dc7532c97c28166e61da658c28672b3ac117f0fbf601e61266b1bf0045e__;!!KZd1Y3y2zDCptWw!8Ww13lisDwEjPeFvdbAMpE_3IqfI4sRYgU1_S6DHVivPYDAi0zekPUIXZrcE$" TargetMode="External"/><Relationship Id="rId2" Type="http://schemas.openxmlformats.org/officeDocument/2006/relationships/styles" Target="styles.xml"/><Relationship Id="rId16" Type="http://schemas.openxmlformats.org/officeDocument/2006/relationships/hyperlink" Target="https://urldefense.com/v3/__https:/click.provideremail.uhc.com/?qs=a4ca2a355328159619639d01ba645f2efe15ddb7168d31fa603b77427efff3876dc5eb7fd8f2a381b4ec18bf26f06d8c7d4d98c9624caa215007abcad1823731__;!!KZd1Y3y2zDCptWw!8Ww13lisDwEjPeFvdbAMpE_3IqfI4sRYgU1_S6DHVivPYDAi0zekPTrhoO-C$" TargetMode="External"/><Relationship Id="rId20" Type="http://schemas.openxmlformats.org/officeDocument/2006/relationships/hyperlink" Target="https://urldefense.com/v3/__https:/click.provideremail.uhc.com/?qs=a4ca2a3553281596c41d25760eef6516c0e08e22755d48dec587695664bab26086901995929da096b17ddcaa98aa60902774aaad73565cfd933c04fd031aca86__;!!KZd1Y3y2zDCptWw!8Ww13lisDwEjPeFvdbAMpE_3IqfI4sRYgU1_S6DHVivPYDAi0zekPREVEjj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com/v3/__https:/click.provideremail.uhc.com/?qs=a4ca2a3553281596978425fd7ecb8c3acd05885f5d8929596ae3b945b5c6e56d9659be65f4fef5f7f7eaacce7f42f4b94e427ee0cea204e4a8afa1df31bd07b4__;!!KZd1Y3y2zDCptWw!8Ww13lisDwEjPeFvdbAMpE_3IqfI4sRYgU1_S6DHVivPYDAi0zekPSpeo2Mg$" TargetMode="External"/><Relationship Id="rId5" Type="http://schemas.openxmlformats.org/officeDocument/2006/relationships/hyperlink" Target="https://urldefense.com/v3/__https:/view.provideremail.uhc.com/?qs=d879222088fe922071b128be72d6fff9e7d2272df65918807f250953e19040e8d4ac9a1b0cfd4b5f1f500bfab8612431a91a2f9367bf5a9c2a6e6a6b48586d52b45b71e2ee7bb21e0769a1f45273de1cfad00b0ddbd3447f__;!!KZd1Y3y2zDCptWw!8Ww13lisDwEjPeFvdbAMpE_3IqfI4sRYgU1_S6DHVivPYDAi0zekPVVIt2w3$" TargetMode="External"/><Relationship Id="rId15" Type="http://schemas.openxmlformats.org/officeDocument/2006/relationships/hyperlink" Target="https://urldefense.com/v3/__https:/click.provideremail.uhc.com/?qs=a4ca2a355328159665e93036fe4a0fa60e34cd5c2bcd0f03ee6cf0e8584c5342b6269b65ff5229f4eae00a34e8e031400242806038abd23760f30f463db507c0__;!!KZd1Y3y2zDCptWw!8Ww13lisDwEjPeFvdbAMpE_3IqfI4sRYgU1_S6DHVivPYDAi0zekPUdROZo7$" TargetMode="External"/><Relationship Id="rId23" Type="http://schemas.openxmlformats.org/officeDocument/2006/relationships/theme" Target="theme/theme1.xml"/><Relationship Id="rId10" Type="http://schemas.openxmlformats.org/officeDocument/2006/relationships/hyperlink" Target="https://urldefense.com/v3/__https:/click.provideremail.uhc.com/?qs=a4ca2a35532815961912d5d9a5a97e494ede5b9a10e95f8f77bd5977cd282915a054670f982415fa0f7ee94314f4cc9059154d2eef2363c41a0d8f64b9392079__;!!KZd1Y3y2zDCptWw!8Ww13lisDwEjPeFvdbAMpE_3IqfI4sRYgU1_S6DHVivPYDAi0zekPb-h4E6w$" TargetMode="External"/><Relationship Id="rId19" Type="http://schemas.openxmlformats.org/officeDocument/2006/relationships/hyperlink" Target="https://urldefense.com/v3/__https:/click.provideremail.uhc.com/?qs=a4ca2a35532815961c84cb9dc6c692ae945a603935a5e0ef920af25bb8335c97be0750424a55d43021967ef6c2f3a6ba445dcf682bd181c7a4018297c8eabab7__;!!KZd1Y3y2zDCptWw!8Ww13lisDwEjPeFvdbAMpE_3IqfI4sRYgU1_S6DHVivPYDAi0zekPZIQ7dF5$" TargetMode="External"/><Relationship Id="rId4" Type="http://schemas.openxmlformats.org/officeDocument/2006/relationships/webSettings" Target="webSettings.xml"/><Relationship Id="rId9" Type="http://schemas.openxmlformats.org/officeDocument/2006/relationships/hyperlink" Target="https://urldefense.com/v3/__https:/click.provideremail.uhc.com/?qs=a4ca2a35532815962aa4986a1a488337fa0ed7faded3f8f47ad273b0e56e447229771875c32b4a9345945d9689b301b332fde365ece9b8baacbcd0b69612b536__;!!KZd1Y3y2zDCptWw!8Ww13lisDwEjPeFvdbAMpE_3IqfI4sRYgU1_S6DHVivPYDAi0zekPUtdccYv$"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2022-02-11T19:33:00Z</dcterms:created>
  <dcterms:modified xsi:type="dcterms:W3CDTF">2022-02-11T19:34:00Z</dcterms:modified>
</cp:coreProperties>
</file>