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9524C" w:rsidRPr="0049524C">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9524C" w:rsidRPr="0049524C">
              <w:tc>
                <w:tcPr>
                  <w:tcW w:w="465" w:type="dxa"/>
                  <w:vAlign w:val="center"/>
                  <w:hideMark/>
                </w:tcPr>
                <w:p w:rsidR="0049524C" w:rsidRPr="0049524C" w:rsidRDefault="0049524C" w:rsidP="0049524C">
                  <w:pPr>
                    <w:spacing w:after="0" w:line="240" w:lineRule="auto"/>
                    <w:rPr>
                      <w:rFonts w:ascii="Times New Roman" w:eastAsia="Times New Roman" w:hAnsi="Times New Roman" w:cs="Times New Roman"/>
                      <w:sz w:val="24"/>
                      <w:szCs w:val="24"/>
                    </w:rPr>
                  </w:pPr>
                  <w:r w:rsidRPr="0049524C">
                    <w:rPr>
                      <w:rFonts w:ascii="Times New Roman" w:eastAsia="Times New Roman" w:hAnsi="Times New Roman" w:cs="Times New Roman"/>
                      <w:noProof/>
                      <w:sz w:val="24"/>
                      <w:szCs w:val="24"/>
                    </w:rPr>
                    <w:drawing>
                      <wp:inline distT="0" distB="0" distL="0" distR="0">
                        <wp:extent cx="295275" cy="514350"/>
                        <wp:effectExtent l="0" t="0" r="9525" b="0"/>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49524C" w:rsidRPr="0049524C" w:rsidRDefault="0049524C" w:rsidP="0049524C">
            <w:pPr>
              <w:spacing w:after="0" w:line="240" w:lineRule="auto"/>
              <w:rPr>
                <w:rFonts w:ascii="Times New Roman" w:eastAsia="Times New Roman" w:hAnsi="Times New Roman" w:cs="Times New Roman"/>
                <w:sz w:val="24"/>
                <w:szCs w:val="24"/>
              </w:rPr>
            </w:pPr>
          </w:p>
        </w:tc>
      </w:tr>
      <w:tr w:rsidR="0049524C" w:rsidRPr="0049524C">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450" w:type="dxa"/>
                    <w:left w:w="150" w:type="dxa"/>
                    <w:bottom w:w="525" w:type="dxa"/>
                    <w:right w:w="150" w:type="dxa"/>
                  </w:tcMar>
                  <w:vAlign w:val="center"/>
                  <w:hideMark/>
                </w:tcPr>
                <w:p w:rsidR="0049524C" w:rsidRPr="0049524C" w:rsidRDefault="0049524C" w:rsidP="0049524C">
                  <w:pPr>
                    <w:spacing w:after="45" w:line="420" w:lineRule="atLeast"/>
                    <w:outlineLvl w:val="0"/>
                    <w:rPr>
                      <w:rFonts w:ascii="Georgia" w:eastAsia="Times New Roman" w:hAnsi="Georgia" w:cs="Arial"/>
                      <w:b/>
                      <w:bCs/>
                      <w:color w:val="002677"/>
                      <w:kern w:val="36"/>
                      <w:sz w:val="42"/>
                      <w:szCs w:val="42"/>
                    </w:rPr>
                  </w:pPr>
                  <w:r w:rsidRPr="0049524C">
                    <w:rPr>
                      <w:rFonts w:ascii="Georgia" w:eastAsia="Times New Roman" w:hAnsi="Georgia" w:cs="Arial"/>
                      <w:b/>
                      <w:bCs/>
                      <w:color w:val="002677"/>
                      <w:kern w:val="36"/>
                      <w:sz w:val="42"/>
                      <w:szCs w:val="42"/>
                    </w:rPr>
                    <w:t>COVID-19 news from UnitedHealthcare</w:t>
                  </w:r>
                </w:p>
                <w:p w:rsidR="0049524C" w:rsidRPr="0049524C" w:rsidRDefault="0049524C" w:rsidP="0049524C">
                  <w:pPr>
                    <w:spacing w:before="75" w:after="150" w:line="360" w:lineRule="atLeast"/>
                    <w:outlineLvl w:val="1"/>
                    <w:rPr>
                      <w:rFonts w:ascii="Arial" w:eastAsia="Times New Roman" w:hAnsi="Arial" w:cs="Arial"/>
                      <w:color w:val="002677"/>
                      <w:sz w:val="30"/>
                      <w:szCs w:val="30"/>
                    </w:rPr>
                  </w:pPr>
                  <w:r w:rsidRPr="0049524C">
                    <w:rPr>
                      <w:rFonts w:ascii="Arial" w:eastAsia="Times New Roman" w:hAnsi="Arial" w:cs="Arial"/>
                      <w:color w:val="002677"/>
                      <w:sz w:val="30"/>
                      <w:szCs w:val="30"/>
                    </w:rPr>
                    <w:t>Temporary cost share waivers extended to Oct. 17, 2021</w:t>
                  </w:r>
                </w:p>
                <w:p w:rsidR="0049524C" w:rsidRPr="0049524C" w:rsidRDefault="0049524C" w:rsidP="0049524C">
                  <w:pPr>
                    <w:spacing w:after="0" w:line="330" w:lineRule="atLeast"/>
                    <w:rPr>
                      <w:rFonts w:ascii="Arial" w:eastAsia="Times New Roman" w:hAnsi="Arial" w:cs="Arial"/>
                      <w:color w:val="444444"/>
                      <w:sz w:val="21"/>
                      <w:szCs w:val="21"/>
                    </w:rPr>
                  </w:pPr>
                </w:p>
                <w:p w:rsidR="0049524C" w:rsidRPr="0049524C" w:rsidRDefault="0049524C" w:rsidP="0049524C">
                  <w:pPr>
                    <w:spacing w:after="0"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t>Here’s a quick overview of the recent extension of the national public health emergency period, as well as resources to help you answer patient questions about COVID-19 vaccines.</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450" w:type="dxa"/>
                    <w:left w:w="150" w:type="dxa"/>
                    <w:bottom w:w="450" w:type="dxa"/>
                    <w:right w:w="150" w:type="dxa"/>
                  </w:tcMar>
                  <w:vAlign w:val="center"/>
                  <w:hideMark/>
                </w:tcPr>
                <w:p w:rsidR="0049524C" w:rsidRPr="0049524C" w:rsidRDefault="0049524C" w:rsidP="0049524C">
                  <w:pPr>
                    <w:spacing w:after="75" w:line="450" w:lineRule="atLeast"/>
                    <w:jc w:val="center"/>
                    <w:outlineLvl w:val="1"/>
                    <w:rPr>
                      <w:rFonts w:ascii="Georgia" w:eastAsia="Times New Roman" w:hAnsi="Georgia" w:cs="Arial"/>
                      <w:b/>
                      <w:bCs/>
                      <w:color w:val="FFFFFF"/>
                      <w:sz w:val="36"/>
                      <w:szCs w:val="36"/>
                    </w:rPr>
                  </w:pPr>
                  <w:r w:rsidRPr="0049524C">
                    <w:rPr>
                      <w:rFonts w:ascii="Georgia" w:eastAsia="Times New Roman" w:hAnsi="Georgia" w:cs="Arial"/>
                      <w:b/>
                      <w:bCs/>
                      <w:color w:val="FFFFFF"/>
                      <w:sz w:val="36"/>
                      <w:szCs w:val="36"/>
                    </w:rPr>
                    <w:t>National public health emergency extended</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450" w:type="dxa"/>
                    <w:left w:w="150" w:type="dxa"/>
                    <w:bottom w:w="450" w:type="dxa"/>
                    <w:right w:w="150" w:type="dxa"/>
                  </w:tcMar>
                  <w:vAlign w:val="center"/>
                  <w:hideMark/>
                </w:tcPr>
                <w:p w:rsidR="0049524C" w:rsidRPr="0049524C" w:rsidRDefault="0049524C" w:rsidP="0049524C">
                  <w:pPr>
                    <w:spacing w:after="300"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t>The national public health emergency has been extended from July 19, 2021 to Oct. 17, 2021. Below is an overview of how that extension affects temporary provisions for COVID-19 testing and testing-related visits.</w:t>
                  </w:r>
                </w:p>
                <w:p w:rsidR="0049524C" w:rsidRPr="0049524C" w:rsidRDefault="0049524C" w:rsidP="0049524C">
                  <w:pPr>
                    <w:numPr>
                      <w:ilvl w:val="0"/>
                      <w:numId w:val="1"/>
                    </w:numPr>
                    <w:spacing w:before="100" w:beforeAutospacing="1" w:after="100" w:afterAutospacing="1" w:line="330" w:lineRule="atLeast"/>
                    <w:rPr>
                      <w:rFonts w:ascii="Arial" w:eastAsia="Times New Roman" w:hAnsi="Arial" w:cs="Arial"/>
                      <w:color w:val="444444"/>
                      <w:sz w:val="21"/>
                      <w:szCs w:val="21"/>
                    </w:rPr>
                  </w:pPr>
                  <w:r w:rsidRPr="0049524C">
                    <w:rPr>
                      <w:rFonts w:ascii="Arial" w:eastAsia="Times New Roman" w:hAnsi="Arial" w:cs="Arial"/>
                      <w:b/>
                      <w:bCs/>
                      <w:color w:val="444444"/>
                      <w:sz w:val="21"/>
                      <w:szCs w:val="21"/>
                    </w:rPr>
                    <w:t>Individual Exchange, Individual and Group Market health plans:</w:t>
                  </w:r>
                  <w:r w:rsidRPr="0049524C">
                    <w:rPr>
                      <w:rFonts w:ascii="Arial" w:eastAsia="Times New Roman" w:hAnsi="Arial" w:cs="Arial"/>
                      <w:color w:val="444444"/>
                      <w:sz w:val="21"/>
                      <w:szCs w:val="21"/>
                    </w:rPr>
                    <w:t xml:space="preserve"> From Feb. 4, 2020 through the national public health emergency period, UnitedHealthcare is waiving cost sharing for in-network and out-of-network COVID-19 tests and testing-related visits.</w:t>
                  </w:r>
                </w:p>
                <w:p w:rsidR="0049524C" w:rsidRPr="0049524C" w:rsidRDefault="0049524C" w:rsidP="0049524C">
                  <w:pPr>
                    <w:numPr>
                      <w:ilvl w:val="0"/>
                      <w:numId w:val="1"/>
                    </w:numPr>
                    <w:spacing w:before="100" w:beforeAutospacing="1" w:after="100" w:afterAutospacing="1" w:line="330" w:lineRule="atLeast"/>
                    <w:rPr>
                      <w:rFonts w:ascii="Arial" w:eastAsia="Times New Roman" w:hAnsi="Arial" w:cs="Arial"/>
                      <w:color w:val="444444"/>
                      <w:sz w:val="21"/>
                      <w:szCs w:val="21"/>
                    </w:rPr>
                  </w:pPr>
                  <w:r w:rsidRPr="0049524C">
                    <w:rPr>
                      <w:rFonts w:ascii="Arial" w:eastAsia="Times New Roman" w:hAnsi="Arial" w:cs="Arial"/>
                      <w:b/>
                      <w:bCs/>
                      <w:color w:val="444444"/>
                      <w:sz w:val="21"/>
                      <w:szCs w:val="21"/>
                    </w:rPr>
                    <w:t>Medicare Advantage:</w:t>
                  </w:r>
                  <w:r w:rsidRPr="0049524C">
                    <w:rPr>
                      <w:rFonts w:ascii="Arial" w:eastAsia="Times New Roman" w:hAnsi="Arial" w:cs="Arial"/>
                      <w:color w:val="444444"/>
                      <w:sz w:val="21"/>
                      <w:szCs w:val="21"/>
                    </w:rPr>
                    <w:t xml:space="preserve"> From Feb. 4, 2020 through the national public health emergency period, UnitedHealthcare is waiving cost sharing for in-network and out-of-network tests for COVID-19, including testing-related telehealth visits.</w:t>
                  </w:r>
                </w:p>
                <w:p w:rsidR="0049524C" w:rsidRPr="0049524C" w:rsidRDefault="0049524C" w:rsidP="0049524C">
                  <w:pPr>
                    <w:numPr>
                      <w:ilvl w:val="0"/>
                      <w:numId w:val="1"/>
                    </w:numPr>
                    <w:spacing w:before="100" w:beforeAutospacing="1" w:after="100" w:afterAutospacing="1" w:line="330" w:lineRule="atLeast"/>
                    <w:rPr>
                      <w:rFonts w:ascii="Arial" w:eastAsia="Times New Roman" w:hAnsi="Arial" w:cs="Arial"/>
                      <w:color w:val="444444"/>
                      <w:sz w:val="21"/>
                      <w:szCs w:val="21"/>
                    </w:rPr>
                  </w:pPr>
                  <w:r w:rsidRPr="0049524C">
                    <w:rPr>
                      <w:rFonts w:ascii="Arial" w:eastAsia="Times New Roman" w:hAnsi="Arial" w:cs="Arial"/>
                      <w:b/>
                      <w:bCs/>
                      <w:color w:val="444444"/>
                      <w:sz w:val="21"/>
                      <w:szCs w:val="21"/>
                    </w:rPr>
                    <w:t>Medicaid:</w:t>
                  </w:r>
                  <w:r w:rsidRPr="0049524C">
                    <w:rPr>
                      <w:rFonts w:ascii="Arial" w:eastAsia="Times New Roman" w:hAnsi="Arial" w:cs="Arial"/>
                      <w:color w:val="444444"/>
                      <w:sz w:val="21"/>
                      <w:szCs w:val="21"/>
                    </w:rPr>
                    <w:t xml:space="preserve"> State-specific rules and other state regulations may apply. For Medicaid and other state-specific regulations, please refer to your state-specific website or your state’s UnitedHealthcare Community Plan website, if applicable.</w:t>
                  </w:r>
                </w:p>
                <w:p w:rsidR="0049524C" w:rsidRPr="0049524C" w:rsidRDefault="0049524C" w:rsidP="0049524C">
                  <w:pPr>
                    <w:spacing w:after="0"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lastRenderedPageBreak/>
                    <w:t xml:space="preserve">Complete details on these temporary cost share waivers are available at </w:t>
                  </w:r>
                  <w:hyperlink r:id="rId6" w:history="1">
                    <w:r w:rsidRPr="0049524C">
                      <w:rPr>
                        <w:rFonts w:ascii="Arial" w:eastAsia="Times New Roman" w:hAnsi="Arial" w:cs="Arial"/>
                        <w:b/>
                        <w:bCs/>
                        <w:color w:val="196ECF"/>
                        <w:sz w:val="21"/>
                        <w:szCs w:val="21"/>
                        <w:u w:val="single"/>
                      </w:rPr>
                      <w:t>UHCprovider.com/COVID19</w:t>
                    </w:r>
                  </w:hyperlink>
                  <w:r w:rsidRPr="0049524C">
                    <w:rPr>
                      <w:rFonts w:ascii="Arial" w:eastAsia="Times New Roman" w:hAnsi="Arial" w:cs="Arial"/>
                      <w:color w:val="444444"/>
                      <w:sz w:val="21"/>
                      <w:szCs w:val="21"/>
                    </w:rPr>
                    <w:t xml:space="preserve"> and in the </w:t>
                  </w:r>
                  <w:hyperlink r:id="rId7" w:history="1">
                    <w:r w:rsidRPr="0049524C">
                      <w:rPr>
                        <w:rFonts w:ascii="Arial" w:eastAsia="Times New Roman" w:hAnsi="Arial" w:cs="Arial"/>
                        <w:b/>
                        <w:bCs/>
                        <w:color w:val="196ECF"/>
                        <w:sz w:val="21"/>
                        <w:szCs w:val="21"/>
                        <w:u w:val="single"/>
                      </w:rPr>
                      <w:t>Summary of COVID-19 Temporary Program Provisions</w:t>
                    </w:r>
                  </w:hyperlink>
                  <w:r w:rsidRPr="0049524C">
                    <w:rPr>
                      <w:rFonts w:ascii="Arial" w:eastAsia="Times New Roman" w:hAnsi="Arial" w:cs="Arial"/>
                      <w:color w:val="444444"/>
                      <w:sz w:val="21"/>
                      <w:szCs w:val="21"/>
                    </w:rPr>
                    <w:t xml:space="preserve">. </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450" w:type="dxa"/>
                    <w:left w:w="150" w:type="dxa"/>
                    <w:bottom w:w="450" w:type="dxa"/>
                    <w:right w:w="150" w:type="dxa"/>
                  </w:tcMar>
                  <w:vAlign w:val="center"/>
                  <w:hideMark/>
                </w:tcPr>
                <w:p w:rsidR="0049524C" w:rsidRPr="0049524C" w:rsidRDefault="0049524C" w:rsidP="0049524C">
                  <w:pPr>
                    <w:spacing w:after="75" w:line="450" w:lineRule="atLeast"/>
                    <w:jc w:val="center"/>
                    <w:outlineLvl w:val="1"/>
                    <w:rPr>
                      <w:rFonts w:ascii="Georgia" w:eastAsia="Times New Roman" w:hAnsi="Georgia" w:cs="Arial"/>
                      <w:b/>
                      <w:bCs/>
                      <w:color w:val="FFFFFF"/>
                      <w:sz w:val="36"/>
                      <w:szCs w:val="36"/>
                    </w:rPr>
                  </w:pPr>
                  <w:r w:rsidRPr="0049524C">
                    <w:rPr>
                      <w:rFonts w:ascii="Georgia" w:eastAsia="Times New Roman" w:hAnsi="Georgia" w:cs="Arial"/>
                      <w:b/>
                      <w:bCs/>
                      <w:color w:val="FFFFFF"/>
                      <w:sz w:val="36"/>
                      <w:szCs w:val="36"/>
                    </w:rPr>
                    <w:lastRenderedPageBreak/>
                    <w:t>Helping patients with vaccine hesitancy</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450" w:type="dxa"/>
                    <w:left w:w="150" w:type="dxa"/>
                    <w:bottom w:w="450" w:type="dxa"/>
                    <w:right w:w="150" w:type="dxa"/>
                  </w:tcMar>
                  <w:vAlign w:val="center"/>
                  <w:hideMark/>
                </w:tcPr>
                <w:p w:rsidR="0049524C" w:rsidRPr="0049524C" w:rsidRDefault="0049524C" w:rsidP="0049524C">
                  <w:pPr>
                    <w:spacing w:after="300"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t xml:space="preserve">With the recent surge of COVID-19 cases due to the Delta variant, it’s more important than ever to talk with patients who may be hesitant to get vaccinated. A recent Kaiser Family Foundation </w:t>
                  </w:r>
                  <w:hyperlink r:id="rId8" w:history="1">
                    <w:r w:rsidRPr="0049524C">
                      <w:rPr>
                        <w:rFonts w:ascii="Arial" w:eastAsia="Times New Roman" w:hAnsi="Arial" w:cs="Arial"/>
                        <w:b/>
                        <w:bCs/>
                        <w:color w:val="196ECF"/>
                        <w:sz w:val="21"/>
                        <w:szCs w:val="21"/>
                        <w:u w:val="single"/>
                      </w:rPr>
                      <w:t>poll</w:t>
                    </w:r>
                  </w:hyperlink>
                  <w:r w:rsidRPr="0049524C">
                    <w:rPr>
                      <w:rFonts w:ascii="Arial" w:eastAsia="Times New Roman" w:hAnsi="Arial" w:cs="Arial"/>
                      <w:color w:val="444444"/>
                      <w:sz w:val="21"/>
                      <w:szCs w:val="21"/>
                    </w:rPr>
                    <w:t xml:space="preserve"> found that 20% of Americans who were initially hesitant or squarely against getting the COVID-19 vaccine have now been vaccinated — and they were persuaded, in part, after conversations with their doctors about their own personal health risks.</w:t>
                  </w:r>
                </w:p>
                <w:p w:rsidR="0049524C" w:rsidRPr="0049524C" w:rsidRDefault="0049524C" w:rsidP="0049524C">
                  <w:pPr>
                    <w:numPr>
                      <w:ilvl w:val="0"/>
                      <w:numId w:val="2"/>
                    </w:numPr>
                    <w:spacing w:before="100" w:beforeAutospacing="1" w:after="100" w:afterAutospacing="1"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t xml:space="preserve">Review our </w:t>
                  </w:r>
                  <w:hyperlink r:id="rId9" w:history="1">
                    <w:r w:rsidRPr="0049524C">
                      <w:rPr>
                        <w:rFonts w:ascii="Arial" w:eastAsia="Times New Roman" w:hAnsi="Arial" w:cs="Arial"/>
                        <w:b/>
                        <w:bCs/>
                        <w:color w:val="196ECF"/>
                        <w:sz w:val="21"/>
                        <w:szCs w:val="21"/>
                        <w:u w:val="single"/>
                      </w:rPr>
                      <w:t>Building COVID-19 Vaccine Confidence</w:t>
                    </w:r>
                  </w:hyperlink>
                  <w:r w:rsidRPr="0049524C">
                    <w:rPr>
                      <w:rFonts w:ascii="Arial" w:eastAsia="Times New Roman" w:hAnsi="Arial" w:cs="Arial"/>
                      <w:color w:val="444444"/>
                      <w:sz w:val="21"/>
                      <w:szCs w:val="21"/>
                    </w:rPr>
                    <w:t xml:space="preserve"> self-paced learning course for tips and scenarios that will help you respond during conversations with members.</w:t>
                  </w:r>
                </w:p>
                <w:p w:rsidR="0049524C" w:rsidRPr="0049524C" w:rsidRDefault="0049524C" w:rsidP="0049524C">
                  <w:pPr>
                    <w:numPr>
                      <w:ilvl w:val="0"/>
                      <w:numId w:val="2"/>
                    </w:numPr>
                    <w:spacing w:before="100" w:beforeAutospacing="1" w:after="100" w:afterAutospacing="1" w:line="330" w:lineRule="atLeast"/>
                    <w:rPr>
                      <w:rFonts w:ascii="Arial" w:eastAsia="Times New Roman" w:hAnsi="Arial" w:cs="Arial"/>
                      <w:color w:val="444444"/>
                      <w:sz w:val="21"/>
                      <w:szCs w:val="21"/>
                    </w:rPr>
                  </w:pPr>
                  <w:r w:rsidRPr="0049524C">
                    <w:rPr>
                      <w:rFonts w:ascii="Arial" w:eastAsia="Times New Roman" w:hAnsi="Arial" w:cs="Arial"/>
                      <w:color w:val="444444"/>
                      <w:sz w:val="21"/>
                      <w:szCs w:val="21"/>
                    </w:rPr>
                    <w:t xml:space="preserve">Check out our </w:t>
                  </w:r>
                  <w:hyperlink r:id="rId10" w:history="1">
                    <w:r w:rsidRPr="0049524C">
                      <w:rPr>
                        <w:rFonts w:ascii="Arial" w:eastAsia="Times New Roman" w:hAnsi="Arial" w:cs="Arial"/>
                        <w:b/>
                        <w:bCs/>
                        <w:color w:val="196ECF"/>
                        <w:sz w:val="21"/>
                        <w:szCs w:val="21"/>
                        <w:u w:val="single"/>
                      </w:rPr>
                      <w:t>Vaccine Confidence resources</w:t>
                    </w:r>
                  </w:hyperlink>
                  <w:r w:rsidRPr="0049524C">
                    <w:rPr>
                      <w:rFonts w:ascii="Arial" w:eastAsia="Times New Roman" w:hAnsi="Arial" w:cs="Arial"/>
                      <w:color w:val="444444"/>
                      <w:sz w:val="21"/>
                      <w:szCs w:val="21"/>
                    </w:rPr>
                    <w:t xml:space="preserve"> to help answer questions. It has information from the American Medical Association, the Centers for Disease Control and Prevention and UnitedHealthcare.</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FFFFFF"/>
            <w:vAlign w:val="center"/>
            <w:hideMark/>
          </w:tcPr>
          <w:p w:rsidR="0049524C" w:rsidRPr="0049524C" w:rsidRDefault="0049524C" w:rsidP="0049524C">
            <w:pPr>
              <w:spacing w:after="0" w:line="240" w:lineRule="auto"/>
              <w:jc w:val="center"/>
              <w:rPr>
                <w:rFonts w:ascii="Times New Roman" w:eastAsia="Times New Roman" w:hAnsi="Times New Roman" w:cs="Times New Roman"/>
                <w:sz w:val="20"/>
                <w:szCs w:val="20"/>
              </w:rPr>
            </w:pPr>
          </w:p>
        </w:tc>
      </w:tr>
      <w:tr w:rsidR="0049524C" w:rsidRPr="0049524C">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9524C" w:rsidRPr="0049524C">
              <w:trPr>
                <w:jc w:val="center"/>
              </w:trPr>
              <w:tc>
                <w:tcPr>
                  <w:tcW w:w="0" w:type="auto"/>
                  <w:tcMar>
                    <w:top w:w="225" w:type="dxa"/>
                    <w:left w:w="150" w:type="dxa"/>
                    <w:bottom w:w="225" w:type="dxa"/>
                    <w:right w:w="150" w:type="dxa"/>
                  </w:tcMar>
                  <w:vAlign w:val="center"/>
                  <w:hideMark/>
                </w:tcPr>
                <w:p w:rsidR="0049524C" w:rsidRPr="0049524C" w:rsidRDefault="0049524C" w:rsidP="0049524C">
                  <w:pPr>
                    <w:spacing w:after="0" w:line="330" w:lineRule="atLeast"/>
                    <w:rPr>
                      <w:rFonts w:ascii="Arial" w:eastAsia="Times New Roman" w:hAnsi="Arial" w:cs="Arial"/>
                      <w:color w:val="002677"/>
                      <w:sz w:val="21"/>
                      <w:szCs w:val="21"/>
                    </w:rPr>
                  </w:pPr>
                  <w:r w:rsidRPr="0049524C">
                    <w:rPr>
                      <w:rFonts w:ascii="Arial" w:eastAsia="Times New Roman" w:hAnsi="Arial" w:cs="Arial"/>
                      <w:color w:val="002677"/>
                      <w:sz w:val="21"/>
                      <w:szCs w:val="21"/>
                    </w:rPr>
                    <w:t>We appreciate your continued focus on putting patient care first during the COVID-19 national public health emergency. UnitedHealthcare remains committed to delivering timely news and updates to help you stay informed of the changing COVID-19 circumstances.</w:t>
                  </w:r>
                  <w:r w:rsidRPr="0049524C">
                    <w:rPr>
                      <w:rFonts w:ascii="Arial" w:eastAsia="Times New Roman" w:hAnsi="Arial" w:cs="Arial"/>
                      <w:color w:val="002677"/>
                      <w:sz w:val="21"/>
                      <w:szCs w:val="21"/>
                    </w:rPr>
                    <w:br/>
                  </w:r>
                  <w:r w:rsidRPr="0049524C">
                    <w:rPr>
                      <w:rFonts w:ascii="Arial" w:eastAsia="Times New Roman" w:hAnsi="Arial" w:cs="Arial"/>
                      <w:color w:val="002677"/>
                      <w:sz w:val="21"/>
                      <w:szCs w:val="21"/>
                    </w:rPr>
                    <w:br/>
                    <w:t>Thank you for your continuous efforts to keep our members healthy and informed.</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r w:rsidR="0049524C" w:rsidRPr="0049524C">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9524C" w:rsidRPr="0049524C">
              <w:trPr>
                <w:jc w:val="center"/>
              </w:trPr>
              <w:tc>
                <w:tcPr>
                  <w:tcW w:w="0" w:type="auto"/>
                  <w:tcMar>
                    <w:top w:w="300" w:type="dxa"/>
                    <w:left w:w="150" w:type="dxa"/>
                    <w:bottom w:w="450" w:type="dxa"/>
                    <w:right w:w="150" w:type="dxa"/>
                  </w:tcMar>
                  <w:hideMark/>
                </w:tcPr>
                <w:p w:rsidR="0049524C" w:rsidRPr="0049524C" w:rsidRDefault="0049524C" w:rsidP="0049524C">
                  <w:pPr>
                    <w:spacing w:before="100" w:beforeAutospacing="1" w:after="100" w:afterAutospacing="1" w:line="270" w:lineRule="atLeast"/>
                    <w:rPr>
                      <w:rFonts w:ascii="Arial" w:eastAsia="Times New Roman" w:hAnsi="Arial" w:cs="Arial"/>
                      <w:color w:val="636363"/>
                      <w:sz w:val="17"/>
                      <w:szCs w:val="17"/>
                    </w:rPr>
                  </w:pPr>
                  <w:r w:rsidRPr="0049524C">
                    <w:rPr>
                      <w:rFonts w:ascii="Arial" w:eastAsia="Times New Roman" w:hAnsi="Arial" w:cs="Arial"/>
                      <w:color w:val="636363"/>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w:t>
                  </w:r>
                  <w:r w:rsidRPr="0049524C">
                    <w:rPr>
                      <w:rFonts w:ascii="Arial" w:eastAsia="Times New Roman" w:hAnsi="Arial" w:cs="Arial"/>
                      <w:color w:val="636363"/>
                      <w:sz w:val="17"/>
                      <w:szCs w:val="17"/>
                    </w:rPr>
                    <w:lastRenderedPageBreak/>
                    <w:t xml:space="preserve">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49524C">
                    <w:rPr>
                      <w:rFonts w:ascii="Arial" w:eastAsia="Times New Roman" w:hAnsi="Arial" w:cs="Arial"/>
                      <w:color w:val="636363"/>
                      <w:sz w:val="17"/>
                      <w:szCs w:val="17"/>
                    </w:rPr>
                    <w:t>OptumHealth</w:t>
                  </w:r>
                  <w:proofErr w:type="spellEnd"/>
                  <w:r w:rsidRPr="0049524C">
                    <w:rPr>
                      <w:rFonts w:ascii="Arial" w:eastAsia="Times New Roman" w:hAnsi="Arial" w:cs="Arial"/>
                      <w:color w:val="636363"/>
                      <w:sz w:val="17"/>
                      <w:szCs w:val="17"/>
                    </w:rPr>
                    <w:t xml:space="preserve"> Care Solutions, LLC, </w:t>
                  </w:r>
                  <w:proofErr w:type="spellStart"/>
                  <w:r w:rsidRPr="0049524C">
                    <w:rPr>
                      <w:rFonts w:ascii="Arial" w:eastAsia="Times New Roman" w:hAnsi="Arial" w:cs="Arial"/>
                      <w:color w:val="636363"/>
                      <w:sz w:val="17"/>
                      <w:szCs w:val="17"/>
                    </w:rPr>
                    <w:t>OptumRx</w:t>
                  </w:r>
                  <w:proofErr w:type="spellEnd"/>
                  <w:r w:rsidRPr="0049524C">
                    <w:rPr>
                      <w:rFonts w:ascii="Arial" w:eastAsia="Times New Roman" w:hAnsi="Arial" w:cs="Arial"/>
                      <w:color w:val="636363"/>
                      <w:sz w:val="17"/>
                      <w:szCs w:val="17"/>
                    </w:rPr>
                    <w:t xml:space="preserve">, Oxford Health Plans LLC, United HealthCare Services, Inc., or other affiliates. Behavioral health products provided by U.S. Behavioral Health Plan, California (USBHPC), or its affiliates. </w:t>
                  </w:r>
                  <w:r w:rsidRPr="0049524C">
                    <w:rPr>
                      <w:rFonts w:ascii="Arial" w:eastAsia="Times New Roman" w:hAnsi="Arial" w:cs="Arial"/>
                      <w:color w:val="636363"/>
                      <w:sz w:val="17"/>
                      <w:szCs w:val="17"/>
                    </w:rPr>
                    <w:br/>
                  </w:r>
                  <w:r w:rsidRPr="0049524C">
                    <w:rPr>
                      <w:rFonts w:ascii="Arial" w:eastAsia="Times New Roman" w:hAnsi="Arial" w:cs="Arial"/>
                      <w:color w:val="636363"/>
                      <w:sz w:val="17"/>
                      <w:szCs w:val="17"/>
                    </w:rPr>
                    <w:br/>
                    <w:t xml:space="preserve">PCA-1-21-02634-MarComm-EM_07202021 </w:t>
                  </w:r>
                </w:p>
                <w:p w:rsidR="0049524C" w:rsidRPr="0049524C" w:rsidRDefault="0049524C" w:rsidP="0049524C">
                  <w:pPr>
                    <w:spacing w:before="100" w:beforeAutospacing="1" w:after="100" w:afterAutospacing="1" w:line="270" w:lineRule="atLeast"/>
                    <w:rPr>
                      <w:rFonts w:ascii="Arial" w:eastAsia="Times New Roman" w:hAnsi="Arial" w:cs="Arial"/>
                      <w:color w:val="636363"/>
                      <w:sz w:val="17"/>
                      <w:szCs w:val="17"/>
                    </w:rPr>
                  </w:pPr>
                  <w:r w:rsidRPr="0049524C">
                    <w:rPr>
                      <w:rFonts w:ascii="Arial" w:eastAsia="Times New Roman" w:hAnsi="Arial" w:cs="Arial"/>
                      <w:color w:val="636363"/>
                      <w:sz w:val="17"/>
                      <w:szCs w:val="17"/>
                    </w:rPr>
                    <w:t>© 2021 United HealthCare Services, Inc. All Rights Reserved.</w:t>
                  </w:r>
                  <w:r w:rsidRPr="0049524C">
                    <w:rPr>
                      <w:rFonts w:ascii="Arial" w:eastAsia="Times New Roman" w:hAnsi="Arial" w:cs="Arial"/>
                      <w:color w:val="636363"/>
                      <w:sz w:val="17"/>
                      <w:szCs w:val="17"/>
                    </w:rPr>
                    <w:br/>
                  </w:r>
                  <w:r w:rsidRPr="0049524C">
                    <w:rPr>
                      <w:rFonts w:ascii="Arial" w:eastAsia="Times New Roman" w:hAnsi="Arial" w:cs="Arial"/>
                      <w:color w:val="636363"/>
                      <w:sz w:val="17"/>
                      <w:szCs w:val="17"/>
                    </w:rPr>
                    <w:br/>
                    <w:t xml:space="preserve">This is a message from UnitedHealthcare. You are receiving this email because you are either a registered user of </w:t>
                  </w:r>
                  <w:hyperlink r:id="rId11" w:history="1">
                    <w:r w:rsidRPr="0049524C">
                      <w:rPr>
                        <w:rFonts w:ascii="Arial" w:eastAsia="Times New Roman" w:hAnsi="Arial" w:cs="Arial"/>
                        <w:color w:val="666666"/>
                        <w:sz w:val="17"/>
                        <w:szCs w:val="17"/>
                        <w:u w:val="single"/>
                      </w:rPr>
                      <w:t>UHCprovider.com</w:t>
                    </w:r>
                  </w:hyperlink>
                  <w:r w:rsidRPr="0049524C">
                    <w:rPr>
                      <w:rFonts w:ascii="Arial" w:eastAsia="Times New Roman" w:hAnsi="Arial" w:cs="Arial"/>
                      <w:color w:val="636363"/>
                      <w:sz w:val="17"/>
                      <w:szCs w:val="17"/>
                    </w:rPr>
                    <w:t xml:space="preserve"> or have contracted or subscribed to receive email communications from UnitedHealthcare. We respect your right to privacy. Visit our website to read our </w:t>
                  </w:r>
                  <w:hyperlink r:id="rId12" w:history="1">
                    <w:r w:rsidRPr="0049524C">
                      <w:rPr>
                        <w:rFonts w:ascii="Arial" w:eastAsia="Times New Roman" w:hAnsi="Arial" w:cs="Arial"/>
                        <w:color w:val="666666"/>
                        <w:sz w:val="17"/>
                        <w:szCs w:val="17"/>
                        <w:u w:val="single"/>
                      </w:rPr>
                      <w:t>Privacy Policy</w:t>
                    </w:r>
                  </w:hyperlink>
                  <w:r w:rsidRPr="0049524C">
                    <w:rPr>
                      <w:rFonts w:ascii="Arial" w:eastAsia="Times New Roman" w:hAnsi="Arial" w:cs="Arial"/>
                      <w:color w:val="636363"/>
                      <w:sz w:val="17"/>
                      <w:szCs w:val="17"/>
                    </w:rPr>
                    <w:t xml:space="preserve"> and </w:t>
                  </w:r>
                  <w:hyperlink r:id="rId13" w:history="1">
                    <w:r w:rsidRPr="0049524C">
                      <w:rPr>
                        <w:rFonts w:ascii="Arial" w:eastAsia="Times New Roman" w:hAnsi="Arial" w:cs="Arial"/>
                        <w:color w:val="666666"/>
                        <w:sz w:val="17"/>
                        <w:szCs w:val="17"/>
                        <w:u w:val="single"/>
                      </w:rPr>
                      <w:t xml:space="preserve">Security Notice </w:t>
                    </w:r>
                  </w:hyperlink>
                  <w:r w:rsidRPr="0049524C">
                    <w:rPr>
                      <w:rFonts w:ascii="Arial" w:eastAsia="Times New Roman" w:hAnsi="Arial" w:cs="Arial"/>
                      <w:color w:val="636363"/>
                      <w:sz w:val="17"/>
                      <w:szCs w:val="17"/>
                    </w:rPr>
                    <w:t>. To unsubscribe from future email communications or to change your email address, visit our email preferences page.</w:t>
                  </w:r>
                </w:p>
              </w:tc>
            </w:tr>
          </w:tbl>
          <w:p w:rsidR="0049524C" w:rsidRPr="0049524C" w:rsidRDefault="0049524C" w:rsidP="0049524C">
            <w:pPr>
              <w:spacing w:after="0" w:line="240" w:lineRule="auto"/>
              <w:jc w:val="center"/>
              <w:rPr>
                <w:rFonts w:ascii="Times New Roman" w:eastAsia="Times New Roman" w:hAnsi="Times New Roman" w:cs="Times New Roman"/>
                <w:sz w:val="24"/>
                <w:szCs w:val="24"/>
              </w:rPr>
            </w:pPr>
          </w:p>
        </w:tc>
      </w:tr>
    </w:tbl>
    <w:p w:rsidR="00EC06B8" w:rsidRDefault="00EC06B8">
      <w:bookmarkStart w:id="0" w:name="_GoBack"/>
      <w:bookmarkEnd w:id="0"/>
    </w:p>
    <w:sectPr w:rsidR="00EC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5543"/>
    <w:multiLevelType w:val="multilevel"/>
    <w:tmpl w:val="4EE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A6D61"/>
    <w:multiLevelType w:val="multilevel"/>
    <w:tmpl w:val="BC7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4C"/>
    <w:rsid w:val="0049524C"/>
    <w:rsid w:val="00EC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8926-9A65-4EE2-8BD3-D8F3C86D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2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2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2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524C"/>
    <w:rPr>
      <w:color w:val="196ECF"/>
      <w:u w:val="single"/>
    </w:rPr>
  </w:style>
  <w:style w:type="paragraph" w:styleId="NormalWeb">
    <w:name w:val="Normal (Web)"/>
    <w:basedOn w:val="Normal"/>
    <w:uiPriority w:val="99"/>
    <w:semiHidden/>
    <w:unhideWhenUsed/>
    <w:rsid w:val="00495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provideremail.uhc.com/?qs=351d88bc7cc688fb397ac7e580ac3ace938ebaf41ca5279e21e73c29107332ae552bbc5b1c1ccf79ac3a3e0f2adde7d86019e705bf2d03403e8d4204a2f4ff9e" TargetMode="External"/><Relationship Id="rId13" Type="http://schemas.openxmlformats.org/officeDocument/2006/relationships/hyperlink" Target="https://click.provideremail.uhc.com/?qs=351d88bc7cc688fbe9dbcb4af56f6f75df278182d761fc5a2c380a0caf80d5869c551c2e6bc2c981b331e5e25df0ddb55d907e72ffc1fd1fcac089966607e389" TargetMode="External"/><Relationship Id="rId3" Type="http://schemas.openxmlformats.org/officeDocument/2006/relationships/settings" Target="settings.xml"/><Relationship Id="rId7" Type="http://schemas.openxmlformats.org/officeDocument/2006/relationships/hyperlink" Target="https://click.provideremail.uhc.com/?qs=351d88bc7cc688fba47c6df950459c0adeed53d50e6b3d894c0f36e9dc2d907cc86f2914678e28fb8aeddf32a9d6720d05b6eedfaf9375e57a4b095d86a7d417" TargetMode="External"/><Relationship Id="rId12" Type="http://schemas.openxmlformats.org/officeDocument/2006/relationships/hyperlink" Target="https://click.provideremail.uhc.com/?qs=351d88bc7cc688fba0e65db1a79e6149161786649f21ed19ed82f213d63b21d1b2121843cb242b1062693b184dd3b19eb51e43e220ebeecf67554c993dfed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provideremail.uhc.com/?qs=351d88bc7cc688fbb9ae6cc4fc2f5c59bd728cbf5af579fa7471a81912b01b93ba2bf162bd9dda2f14481c77766c90c6f7a3ae3bb5715b5ab629d6f685b31fee" TargetMode="External"/><Relationship Id="rId11" Type="http://schemas.openxmlformats.org/officeDocument/2006/relationships/hyperlink" Target="https://click.provideremail.uhc.com/?qs=351d88bc7cc688fb77279d7523759dab198538508880d8b209088c6eeaa7d469de88f6b9bd698fb12a57fe0c5d7f72a92d172c8746447a1f7b2d09004c4e97d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lick.provideremail.uhc.com/?qs=351d88bc7cc688fb524414d735fa6c526e209fd6b382d9257365d0318f989cc6e45bb4e6a3478f5e05e6a056b0c0fc5d3eca4a0a0b5aba1f8d2cf328481b26bc" TargetMode="External"/><Relationship Id="rId4" Type="http://schemas.openxmlformats.org/officeDocument/2006/relationships/webSettings" Target="webSettings.xml"/><Relationship Id="rId9" Type="http://schemas.openxmlformats.org/officeDocument/2006/relationships/hyperlink" Target="https://click.provideremail.uhc.com/?qs=351d88bc7cc688fbf5e64eee99b60af349801da5010728a34662f915fd5691ec39ae108d62d7eab382c2ea50b5ce173f2f7b9d8b3c2a19e41f4e97ce22d38b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Company>Med Center Health</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2021-08-09T14:34:00Z</dcterms:created>
  <dcterms:modified xsi:type="dcterms:W3CDTF">2021-08-09T14:34:00Z</dcterms:modified>
</cp:coreProperties>
</file>