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E0E0E0"/>
        <w:tblCellMar>
          <w:left w:w="0" w:type="dxa"/>
          <w:right w:w="0" w:type="dxa"/>
        </w:tblCellMar>
        <w:tblLook w:val="04A0" w:firstRow="1" w:lastRow="0" w:firstColumn="1" w:lastColumn="0" w:noHBand="0" w:noVBand="1"/>
      </w:tblPr>
      <w:tblGrid>
        <w:gridCol w:w="9360"/>
      </w:tblGrid>
      <w:tr w:rsidR="004E58E5" w:rsidRPr="004E58E5" w:rsidTr="004E58E5">
        <w:trPr>
          <w:jc w:val="center"/>
        </w:trPr>
        <w:tc>
          <w:tcPr>
            <w:tcW w:w="0" w:type="auto"/>
            <w:shd w:val="clear" w:color="auto" w:fill="E0E0E0"/>
            <w:vAlign w:val="center"/>
            <w:hideMark/>
          </w:tcPr>
          <w:tbl>
            <w:tblPr>
              <w:tblW w:w="9600" w:type="dxa"/>
              <w:jc w:val="center"/>
              <w:tblCellMar>
                <w:left w:w="0" w:type="dxa"/>
                <w:right w:w="0" w:type="dxa"/>
              </w:tblCellMar>
              <w:tblLook w:val="04A0" w:firstRow="1" w:lastRow="0" w:firstColumn="1" w:lastColumn="0" w:noHBand="0" w:noVBand="1"/>
            </w:tblPr>
            <w:tblGrid>
              <w:gridCol w:w="9360"/>
            </w:tblGrid>
            <w:tr w:rsidR="004E58E5" w:rsidRPr="004E58E5">
              <w:trPr>
                <w:jc w:val="center"/>
              </w:trPr>
              <w:tc>
                <w:tcPr>
                  <w:tcW w:w="0" w:type="auto"/>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E58E5" w:rsidRPr="004E58E5">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180" w:type="dxa"/>
                                <w:left w:w="600" w:type="dxa"/>
                                <w:bottom w:w="180" w:type="dxa"/>
                                <w:right w:w="600" w:type="dxa"/>
                              </w:tcMar>
                              <w:vAlign w:val="center"/>
                              <w:hideMark/>
                            </w:tcPr>
                            <w:p w:rsidR="004E58E5" w:rsidRPr="004E58E5" w:rsidRDefault="004E58E5" w:rsidP="004E58E5">
                              <w:pPr>
                                <w:spacing w:after="0" w:line="270" w:lineRule="atLeast"/>
                                <w:jc w:val="center"/>
                                <w:rPr>
                                  <w:rFonts w:ascii="Arial" w:eastAsia="Times New Roman" w:hAnsi="Arial" w:cs="Arial"/>
                                  <w:color w:val="636363"/>
                                  <w:sz w:val="18"/>
                                  <w:szCs w:val="18"/>
                                </w:rPr>
                              </w:pPr>
                              <w:r w:rsidRPr="004E58E5">
                                <w:rPr>
                                  <w:rFonts w:ascii="Arial" w:eastAsia="Times New Roman" w:hAnsi="Arial" w:cs="Arial"/>
                                  <w:color w:val="636363"/>
                                  <w:sz w:val="18"/>
                                  <w:szCs w:val="18"/>
                                </w:rPr>
                                <w:t xml:space="preserve">If you are unable to read this message or see the images, </w:t>
                              </w:r>
                              <w:hyperlink r:id="rId5" w:history="1">
                                <w:r w:rsidRPr="004E58E5">
                                  <w:rPr>
                                    <w:rFonts w:ascii="Arial" w:eastAsia="Times New Roman" w:hAnsi="Arial" w:cs="Arial"/>
                                    <w:color w:val="666666"/>
                                    <w:sz w:val="18"/>
                                    <w:szCs w:val="18"/>
                                    <w:u w:val="single"/>
                                  </w:rPr>
                                  <w:t>view it online</w:t>
                                </w:r>
                              </w:hyperlink>
                              <w:r w:rsidRPr="004E58E5">
                                <w:rPr>
                                  <w:rFonts w:ascii="Arial" w:eastAsia="Times New Roman" w:hAnsi="Arial" w:cs="Arial"/>
                                  <w:color w:val="636363"/>
                                  <w:sz w:val="18"/>
                                  <w:szCs w:val="18"/>
                                </w:rPr>
                                <w:t xml:space="preserve"> </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E58E5" w:rsidRPr="004E58E5">
                          <w:tc>
                            <w:tcPr>
                              <w:tcW w:w="465" w:type="dxa"/>
                              <w:vAlign w:val="center"/>
                              <w:hideMark/>
                            </w:tcPr>
                            <w:p w:rsidR="004E58E5" w:rsidRPr="004E58E5" w:rsidRDefault="004E58E5" w:rsidP="004E58E5">
                              <w:pPr>
                                <w:spacing w:after="0" w:line="240" w:lineRule="auto"/>
                                <w:rPr>
                                  <w:rFonts w:ascii="Times New Roman" w:eastAsia="Times New Roman" w:hAnsi="Times New Roman" w:cs="Times New Roman"/>
                                  <w:sz w:val="24"/>
                                  <w:szCs w:val="24"/>
                                </w:rPr>
                              </w:pPr>
                              <w:r w:rsidRPr="004E58E5">
                                <w:rPr>
                                  <w:rFonts w:ascii="Times New Roman" w:eastAsia="Times New Roman" w:hAnsi="Times New Roman" w:cs="Times New Roman"/>
                                  <w:noProof/>
                                  <w:sz w:val="24"/>
                                  <w:szCs w:val="24"/>
                                </w:rPr>
                                <w:drawing>
                                  <wp:inline distT="0" distB="0" distL="0" distR="0" wp14:anchorId="617C6EC5" wp14:editId="6B3DA47B">
                                    <wp:extent cx="295275" cy="514350"/>
                                    <wp:effectExtent l="0" t="0" r="9525" b="0"/>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4E58E5" w:rsidRPr="004E58E5" w:rsidRDefault="004E58E5" w:rsidP="004E58E5">
                        <w:pPr>
                          <w:spacing w:after="0" w:line="240" w:lineRule="auto"/>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525" w:type="dxa"/>
                                <w:right w:w="150" w:type="dxa"/>
                              </w:tcMar>
                              <w:vAlign w:val="center"/>
                            </w:tcPr>
                            <w:p w:rsidR="004E58E5" w:rsidRPr="004E58E5" w:rsidRDefault="004E58E5" w:rsidP="004E58E5">
                              <w:pPr>
                                <w:spacing w:after="45" w:line="420" w:lineRule="atLeast"/>
                                <w:outlineLvl w:val="0"/>
                                <w:rPr>
                                  <w:rFonts w:ascii="Georgia" w:eastAsia="Times New Roman" w:hAnsi="Georgia" w:cs="Arial"/>
                                  <w:b/>
                                  <w:bCs/>
                                  <w:color w:val="002677"/>
                                  <w:kern w:val="36"/>
                                  <w:sz w:val="42"/>
                                  <w:szCs w:val="42"/>
                                </w:rPr>
                              </w:pPr>
                              <w:r w:rsidRPr="004E58E5">
                                <w:rPr>
                                  <w:rFonts w:ascii="Georgia" w:eastAsia="Times New Roman" w:hAnsi="Georgia" w:cs="Arial"/>
                                  <w:b/>
                                  <w:bCs/>
                                  <w:color w:val="002677"/>
                                  <w:kern w:val="36"/>
                                  <w:sz w:val="42"/>
                                  <w:szCs w:val="42"/>
                                </w:rPr>
                                <w:t>COVID</w:t>
                              </w:r>
                              <w:r w:rsidRPr="004E58E5">
                                <w:rPr>
                                  <w:rFonts w:ascii="Georgia" w:eastAsia="Times New Roman" w:hAnsi="Georgia" w:cs="Arial"/>
                                  <w:b/>
                                  <w:bCs/>
                                  <w:color w:val="002677"/>
                                  <w:kern w:val="36"/>
                                  <w:sz w:val="42"/>
                                  <w:szCs w:val="42"/>
                                </w:rPr>
                                <w:noBreakHyphen/>
                                <w:t>19 news from UnitedHealthcare</w:t>
                              </w:r>
                            </w:p>
                            <w:p w:rsidR="004E58E5" w:rsidRPr="004E58E5" w:rsidRDefault="004E58E5" w:rsidP="004E58E5">
                              <w:pPr>
                                <w:spacing w:before="75" w:after="150" w:line="360" w:lineRule="atLeast"/>
                                <w:outlineLvl w:val="1"/>
                                <w:rPr>
                                  <w:rFonts w:ascii="Arial" w:eastAsia="Times New Roman" w:hAnsi="Arial" w:cs="Arial"/>
                                  <w:color w:val="002677"/>
                                  <w:sz w:val="30"/>
                                  <w:szCs w:val="30"/>
                                </w:rPr>
                              </w:pPr>
                              <w:r w:rsidRPr="004E58E5">
                                <w:rPr>
                                  <w:rFonts w:ascii="Arial" w:eastAsia="Times New Roman" w:hAnsi="Arial" w:cs="Arial"/>
                                  <w:color w:val="002677"/>
                                  <w:sz w:val="30"/>
                                  <w:szCs w:val="30"/>
                                </w:rPr>
                                <w:t>Temporary cost share waivers extended; additional billing guidance issued</w:t>
                              </w:r>
                            </w:p>
                            <w:p w:rsidR="004E58E5" w:rsidRPr="004E58E5" w:rsidRDefault="004E58E5" w:rsidP="004E58E5">
                              <w:pPr>
                                <w:spacing w:after="0" w:line="330" w:lineRule="atLeast"/>
                                <w:rPr>
                                  <w:rFonts w:ascii="Arial" w:eastAsia="Times New Roman" w:hAnsi="Arial" w:cs="Arial"/>
                                  <w:color w:val="444444"/>
                                  <w:sz w:val="21"/>
                                  <w:szCs w:val="21"/>
                                </w:rPr>
                              </w:pPr>
                            </w:p>
                            <w:p w:rsidR="004E58E5" w:rsidRPr="004E58E5" w:rsidRDefault="004E58E5" w:rsidP="004E58E5">
                              <w:pPr>
                                <w:spacing w:after="0" w:line="330" w:lineRule="atLeast"/>
                                <w:rPr>
                                  <w:rFonts w:ascii="Arial" w:eastAsia="Calibri" w:hAnsi="Arial" w:cs="Arial"/>
                                  <w:color w:val="444444"/>
                                  <w:sz w:val="21"/>
                                  <w:szCs w:val="21"/>
                                </w:rPr>
                              </w:pPr>
                              <w:r w:rsidRPr="004E58E5">
                                <w:rPr>
                                  <w:rFonts w:ascii="Arial" w:eastAsia="Calibri" w:hAnsi="Arial" w:cs="Arial"/>
                                  <w:color w:val="444444"/>
                                  <w:sz w:val="21"/>
                                  <w:szCs w:val="21"/>
                                </w:rPr>
                                <w:t>COVID-19 continues to be an enormous challenge, and it will be for the foreseeable future. No one knows that better than you – the health care professionals on the front lines of the war on the virus. To help you care for patients and manage the administrative tasks that go along with that care, we’re sharing several COVID</w:t>
                              </w:r>
                              <w:r w:rsidRPr="004E58E5">
                                <w:rPr>
                                  <w:rFonts w:ascii="Arial" w:eastAsia="Calibri" w:hAnsi="Arial" w:cs="Arial"/>
                                  <w:color w:val="444444"/>
                                  <w:sz w:val="21"/>
                                  <w:szCs w:val="21"/>
                                </w:rPr>
                                <w:noBreakHyphen/>
                                <w:t>19 updates with you:</w:t>
                              </w:r>
                            </w:p>
                            <w:p w:rsidR="004E58E5" w:rsidRPr="004E58E5" w:rsidRDefault="004E58E5" w:rsidP="004E58E5">
                              <w:pPr>
                                <w:numPr>
                                  <w:ilvl w:val="0"/>
                                  <w:numId w:val="1"/>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color w:val="444444"/>
                                  <w:sz w:val="21"/>
                                  <w:szCs w:val="21"/>
                                </w:rPr>
                                <w:t>Extension of the national public health emergency</w:t>
                              </w:r>
                            </w:p>
                            <w:p w:rsidR="004E58E5" w:rsidRPr="004E58E5" w:rsidRDefault="004E58E5" w:rsidP="004E58E5">
                              <w:pPr>
                                <w:numPr>
                                  <w:ilvl w:val="0"/>
                                  <w:numId w:val="1"/>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color w:val="444444"/>
                                  <w:sz w:val="21"/>
                                  <w:szCs w:val="21"/>
                                </w:rPr>
                                <w:t>Updates regarding COVID</w:t>
                              </w:r>
                              <w:r w:rsidRPr="004E58E5">
                                <w:rPr>
                                  <w:rFonts w:ascii="Arial" w:eastAsia="Times New Roman" w:hAnsi="Arial" w:cs="Arial"/>
                                  <w:color w:val="444444"/>
                                  <w:sz w:val="21"/>
                                  <w:szCs w:val="21"/>
                                </w:rPr>
                                <w:noBreakHyphen/>
                                <w:t>19 billing</w:t>
                              </w:r>
                            </w:p>
                            <w:p w:rsidR="004E58E5" w:rsidRPr="004E58E5" w:rsidRDefault="004E58E5" w:rsidP="004E58E5">
                              <w:pPr>
                                <w:numPr>
                                  <w:ilvl w:val="0"/>
                                  <w:numId w:val="1"/>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color w:val="444444"/>
                                  <w:sz w:val="21"/>
                                  <w:szCs w:val="21"/>
                                </w:rPr>
                                <w:t>Resources to help you respond to patient concerns regarding COVID</w:t>
                              </w:r>
                              <w:r w:rsidRPr="004E58E5">
                                <w:rPr>
                                  <w:rFonts w:ascii="Arial" w:eastAsia="Times New Roman" w:hAnsi="Arial" w:cs="Arial"/>
                                  <w:color w:val="444444"/>
                                  <w:sz w:val="21"/>
                                  <w:szCs w:val="21"/>
                                </w:rPr>
                                <w:noBreakHyphen/>
                                <w:t>19 vaccines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450" w:type="dxa"/>
                                <w:right w:w="150" w:type="dxa"/>
                              </w:tcMar>
                              <w:vAlign w:val="center"/>
                              <w:hideMark/>
                            </w:tcPr>
                            <w:p w:rsidR="004E58E5" w:rsidRPr="004E58E5" w:rsidRDefault="004E58E5" w:rsidP="004E58E5">
                              <w:pPr>
                                <w:spacing w:after="75" w:line="450" w:lineRule="atLeast"/>
                                <w:jc w:val="center"/>
                                <w:outlineLvl w:val="1"/>
                                <w:rPr>
                                  <w:rFonts w:ascii="Georgia" w:eastAsia="Times New Roman" w:hAnsi="Georgia" w:cs="Arial"/>
                                  <w:b/>
                                  <w:bCs/>
                                  <w:color w:val="FFFFFF"/>
                                  <w:sz w:val="36"/>
                                  <w:szCs w:val="36"/>
                                </w:rPr>
                              </w:pPr>
                              <w:r w:rsidRPr="004E58E5">
                                <w:rPr>
                                  <w:rFonts w:ascii="Georgia" w:eastAsia="Times New Roman" w:hAnsi="Georgia" w:cs="Arial"/>
                                  <w:b/>
                                  <w:bCs/>
                                  <w:color w:val="FFFFFF"/>
                                  <w:sz w:val="36"/>
                                  <w:szCs w:val="36"/>
                                </w:rPr>
                                <w:t>National public health emergency extended</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0" w:type="dxa"/>
                                <w:right w:w="150" w:type="dxa"/>
                              </w:tcMar>
                              <w:vAlign w:val="center"/>
                              <w:hideMark/>
                            </w:tcPr>
                            <w:p w:rsidR="004E58E5" w:rsidRPr="004E58E5" w:rsidRDefault="004E58E5" w:rsidP="004E58E5">
                              <w:pPr>
                                <w:spacing w:after="300" w:line="330" w:lineRule="atLeast"/>
                                <w:rPr>
                                  <w:rFonts w:ascii="Arial" w:eastAsia="Calibri" w:hAnsi="Arial" w:cs="Arial"/>
                                  <w:color w:val="444444"/>
                                  <w:sz w:val="21"/>
                                  <w:szCs w:val="21"/>
                                </w:rPr>
                              </w:pPr>
                              <w:r w:rsidRPr="004E58E5">
                                <w:rPr>
                                  <w:rFonts w:ascii="Arial" w:eastAsia="Calibri" w:hAnsi="Arial" w:cs="Arial"/>
                                  <w:color w:val="444444"/>
                                  <w:sz w:val="21"/>
                                  <w:szCs w:val="21"/>
                                </w:rPr>
                                <w:t>The national public health emergency has been extended from Oct. 19, 2021 to Jan. 15, 2022. Here’s how that extension affects temporary provisions for COVID</w:t>
                              </w:r>
                              <w:r w:rsidRPr="004E58E5">
                                <w:rPr>
                                  <w:rFonts w:ascii="Arial" w:eastAsia="Calibri" w:hAnsi="Arial" w:cs="Arial"/>
                                  <w:color w:val="444444"/>
                                  <w:sz w:val="21"/>
                                  <w:szCs w:val="21"/>
                                </w:rPr>
                                <w:noBreakHyphen/>
                                <w:t>19 testing and testing</w:t>
                              </w:r>
                              <w:r w:rsidRPr="004E58E5">
                                <w:rPr>
                                  <w:rFonts w:ascii="Arial" w:eastAsia="Calibri" w:hAnsi="Arial" w:cs="Arial"/>
                                  <w:color w:val="444444"/>
                                  <w:sz w:val="21"/>
                                  <w:szCs w:val="21"/>
                                </w:rPr>
                                <w:noBreakHyphen/>
                                <w:t>related visits:</w:t>
                              </w:r>
                            </w:p>
                            <w:p w:rsidR="004E58E5" w:rsidRPr="004E58E5" w:rsidRDefault="004E58E5" w:rsidP="004E58E5">
                              <w:pPr>
                                <w:numPr>
                                  <w:ilvl w:val="0"/>
                                  <w:numId w:val="2"/>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b/>
                                  <w:bCs/>
                                  <w:color w:val="444444"/>
                                  <w:sz w:val="21"/>
                                  <w:szCs w:val="21"/>
                                </w:rPr>
                                <w:t>Medicare Advantage, Individual Exchange, Individual and Group Market health plans:</w:t>
                              </w:r>
                              <w:r w:rsidRPr="004E58E5">
                                <w:rPr>
                                  <w:rFonts w:ascii="Arial" w:eastAsia="Times New Roman" w:hAnsi="Arial" w:cs="Arial"/>
                                  <w:color w:val="444444"/>
                                  <w:sz w:val="21"/>
                                  <w:szCs w:val="21"/>
                                </w:rPr>
                                <w:t xml:space="preserve"> From Feb. 4, 2020 through the national public health emergency period, UnitedHealthcare is waiving cost sharing for in-network and out</w:t>
                              </w:r>
                              <w:r w:rsidRPr="004E58E5">
                                <w:rPr>
                                  <w:rFonts w:ascii="Arial" w:eastAsia="Times New Roman" w:hAnsi="Arial" w:cs="Arial"/>
                                  <w:color w:val="444444"/>
                                  <w:sz w:val="21"/>
                                  <w:szCs w:val="21"/>
                                </w:rPr>
                                <w:noBreakHyphen/>
                                <w:t>of</w:t>
                              </w:r>
                              <w:r w:rsidRPr="004E58E5">
                                <w:rPr>
                                  <w:rFonts w:ascii="Arial" w:eastAsia="Times New Roman" w:hAnsi="Arial" w:cs="Arial"/>
                                  <w:color w:val="444444"/>
                                  <w:sz w:val="21"/>
                                  <w:szCs w:val="21"/>
                                </w:rPr>
                                <w:noBreakHyphen/>
                                <w:t>network COVID</w:t>
                              </w:r>
                              <w:r w:rsidRPr="004E58E5">
                                <w:rPr>
                                  <w:rFonts w:ascii="Arial" w:eastAsia="Times New Roman" w:hAnsi="Arial" w:cs="Arial"/>
                                  <w:color w:val="444444"/>
                                  <w:sz w:val="21"/>
                                  <w:szCs w:val="21"/>
                                </w:rPr>
                                <w:noBreakHyphen/>
                                <w:t>19 tests and testing</w:t>
                              </w:r>
                              <w:r w:rsidRPr="004E58E5">
                                <w:rPr>
                                  <w:rFonts w:ascii="Arial" w:eastAsia="Times New Roman" w:hAnsi="Arial" w:cs="Arial"/>
                                  <w:color w:val="444444"/>
                                  <w:sz w:val="21"/>
                                  <w:szCs w:val="21"/>
                                </w:rPr>
                                <w:noBreakHyphen/>
                                <w:t>related visits.</w:t>
                              </w:r>
                            </w:p>
                            <w:p w:rsidR="004E58E5" w:rsidRPr="004E58E5" w:rsidRDefault="004E58E5" w:rsidP="004E58E5">
                              <w:pPr>
                                <w:numPr>
                                  <w:ilvl w:val="0"/>
                                  <w:numId w:val="2"/>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b/>
                                  <w:bCs/>
                                  <w:color w:val="444444"/>
                                  <w:sz w:val="21"/>
                                  <w:szCs w:val="21"/>
                                </w:rPr>
                                <w:lastRenderedPageBreak/>
                                <w:t>Medicaid:</w:t>
                              </w:r>
                              <w:r w:rsidRPr="004E58E5">
                                <w:rPr>
                                  <w:rFonts w:ascii="Arial" w:eastAsia="Times New Roman" w:hAnsi="Arial" w:cs="Arial"/>
                                  <w:color w:val="444444"/>
                                  <w:sz w:val="21"/>
                                  <w:szCs w:val="21"/>
                                </w:rPr>
                                <w:t xml:space="preserve"> State</w:t>
                              </w:r>
                              <w:r w:rsidRPr="004E58E5">
                                <w:rPr>
                                  <w:rFonts w:ascii="Arial" w:eastAsia="Times New Roman" w:hAnsi="Arial" w:cs="Arial"/>
                                  <w:color w:val="444444"/>
                                  <w:sz w:val="21"/>
                                  <w:szCs w:val="21"/>
                                </w:rPr>
                                <w:noBreakHyphen/>
                                <w:t>specific rules and other state regulations may apply. For Medicaid and other state</w:t>
                              </w:r>
                              <w:r w:rsidRPr="004E58E5">
                                <w:rPr>
                                  <w:rFonts w:ascii="Arial" w:eastAsia="Times New Roman" w:hAnsi="Arial" w:cs="Arial"/>
                                  <w:color w:val="444444"/>
                                  <w:sz w:val="21"/>
                                  <w:szCs w:val="21"/>
                                </w:rPr>
                                <w:noBreakHyphen/>
                                <w:t>specific regulations, please refer to your state</w:t>
                              </w:r>
                              <w:r w:rsidRPr="004E58E5">
                                <w:rPr>
                                  <w:rFonts w:ascii="Arial" w:eastAsia="Times New Roman" w:hAnsi="Arial" w:cs="Arial"/>
                                  <w:color w:val="444444"/>
                                  <w:sz w:val="21"/>
                                  <w:szCs w:val="21"/>
                                </w:rPr>
                                <w:noBreakHyphen/>
                                <w:t>specific website or your state’s UnitedHealthcare Community Plan website, if applicable.</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975"/>
                          <w:gridCol w:w="7875"/>
                        </w:tblGrid>
                        <w:tr w:rsidR="004E58E5" w:rsidRPr="004E58E5">
                          <w:trPr>
                            <w:jc w:val="center"/>
                          </w:trPr>
                          <w:tc>
                            <w:tcPr>
                              <w:tcW w:w="960" w:type="dxa"/>
                              <w:tcMar>
                                <w:top w:w="75" w:type="dxa"/>
                                <w:left w:w="75" w:type="dxa"/>
                                <w:bottom w:w="375" w:type="dxa"/>
                                <w:right w:w="0" w:type="dxa"/>
                              </w:tcMar>
                              <w:hideMark/>
                            </w:tcPr>
                            <w:p w:rsidR="004E58E5" w:rsidRPr="004E58E5" w:rsidRDefault="004E58E5" w:rsidP="004E58E5">
                              <w:pPr>
                                <w:spacing w:after="0" w:line="300" w:lineRule="atLeast"/>
                                <w:rPr>
                                  <w:rFonts w:ascii="Times New Roman" w:eastAsia="Times New Roman" w:hAnsi="Times New Roman" w:cs="Times New Roman"/>
                                  <w:sz w:val="24"/>
                                  <w:szCs w:val="24"/>
                                </w:rPr>
                              </w:pPr>
                              <w:r w:rsidRPr="004E58E5">
                                <w:rPr>
                                  <w:rFonts w:ascii="Times New Roman" w:eastAsia="Times New Roman" w:hAnsi="Times New Roman" w:cs="Times New Roman"/>
                                  <w:noProof/>
                                  <w:sz w:val="24"/>
                                  <w:szCs w:val="24"/>
                                </w:rPr>
                                <w:lastRenderedPageBreak/>
                                <w:drawing>
                                  <wp:inline distT="0" distB="0" distL="0" distR="0" wp14:anchorId="7DB27698" wp14:editId="5A4C65D3">
                                    <wp:extent cx="571500" cy="561975"/>
                                    <wp:effectExtent l="0" t="0" r="0" b="9525"/>
                                    <wp:docPr id="2" name="Picture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0" w:type="auto"/>
                              <w:tcMar>
                                <w:top w:w="75" w:type="dxa"/>
                                <w:left w:w="300" w:type="dxa"/>
                                <w:bottom w:w="375" w:type="dxa"/>
                                <w:right w:w="75" w:type="dxa"/>
                              </w:tcMar>
                              <w:hideMark/>
                            </w:tcPr>
                            <w:p w:rsidR="004E58E5" w:rsidRPr="004E58E5" w:rsidRDefault="004E58E5" w:rsidP="004E58E5">
                              <w:pPr>
                                <w:spacing w:after="0" w:line="300" w:lineRule="atLeast"/>
                                <w:rPr>
                                  <w:rFonts w:ascii="Arial" w:eastAsia="Calibri" w:hAnsi="Arial" w:cs="Arial"/>
                                  <w:color w:val="444444"/>
                                  <w:sz w:val="21"/>
                                  <w:szCs w:val="21"/>
                                </w:rPr>
                              </w:pPr>
                              <w:r w:rsidRPr="004E58E5">
                                <w:rPr>
                                  <w:rFonts w:ascii="Arial" w:eastAsia="Calibri" w:hAnsi="Arial" w:cs="Arial"/>
                                  <w:color w:val="444444"/>
                                  <w:sz w:val="21"/>
                                  <w:szCs w:val="21"/>
                                </w:rPr>
                                <w:t xml:space="preserve">Complete details on these temporary cost share waivers are available at </w:t>
                              </w:r>
                              <w:hyperlink r:id="rId8" w:history="1">
                                <w:r w:rsidRPr="004E58E5">
                                  <w:rPr>
                                    <w:rFonts w:ascii="Arial" w:eastAsia="Calibri" w:hAnsi="Arial" w:cs="Arial"/>
                                    <w:b/>
                                    <w:bCs/>
                                    <w:color w:val="196ECF"/>
                                    <w:sz w:val="21"/>
                                    <w:szCs w:val="21"/>
                                    <w:u w:val="single"/>
                                  </w:rPr>
                                  <w:t>UHCprovider.com/COVID19</w:t>
                                </w:r>
                              </w:hyperlink>
                              <w:r w:rsidRPr="004E58E5">
                                <w:rPr>
                                  <w:rFonts w:ascii="Arial" w:eastAsia="Calibri" w:hAnsi="Arial" w:cs="Arial"/>
                                  <w:color w:val="444444"/>
                                  <w:sz w:val="21"/>
                                  <w:szCs w:val="21"/>
                                </w:rPr>
                                <w:t xml:space="preserve"> and in the </w:t>
                              </w:r>
                              <w:hyperlink r:id="rId9" w:history="1">
                                <w:r w:rsidRPr="004E58E5">
                                  <w:rPr>
                                    <w:rFonts w:ascii="Arial" w:eastAsia="Calibri" w:hAnsi="Arial" w:cs="Arial"/>
                                    <w:b/>
                                    <w:bCs/>
                                    <w:color w:val="196ECF"/>
                                    <w:sz w:val="21"/>
                                    <w:szCs w:val="21"/>
                                    <w:u w:val="single"/>
                                  </w:rPr>
                                  <w:t>Summary of COVID-19 Temporary Program Provisions</w:t>
                                </w:r>
                              </w:hyperlink>
                              <w:r w:rsidRPr="004E58E5">
                                <w:rPr>
                                  <w:rFonts w:ascii="Arial" w:eastAsia="Calibri" w:hAnsi="Arial" w:cs="Arial"/>
                                  <w:color w:val="444444"/>
                                  <w:sz w:val="21"/>
                                  <w:szCs w:val="21"/>
                                </w:rPr>
                                <w:t>.</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450" w:type="dxa"/>
                                <w:right w:w="150" w:type="dxa"/>
                              </w:tcMar>
                              <w:vAlign w:val="center"/>
                              <w:hideMark/>
                            </w:tcPr>
                            <w:p w:rsidR="004E58E5" w:rsidRPr="004E58E5" w:rsidRDefault="004E58E5" w:rsidP="004E58E5">
                              <w:pPr>
                                <w:spacing w:after="75" w:line="450" w:lineRule="atLeast"/>
                                <w:jc w:val="center"/>
                                <w:outlineLvl w:val="1"/>
                                <w:rPr>
                                  <w:rFonts w:ascii="Georgia" w:eastAsia="Times New Roman" w:hAnsi="Georgia" w:cs="Arial"/>
                                  <w:b/>
                                  <w:bCs/>
                                  <w:color w:val="FFFFFF"/>
                                  <w:sz w:val="36"/>
                                  <w:szCs w:val="36"/>
                                </w:rPr>
                              </w:pPr>
                              <w:r w:rsidRPr="004E58E5">
                                <w:rPr>
                                  <w:rFonts w:ascii="Georgia" w:eastAsia="Times New Roman" w:hAnsi="Georgia" w:cs="Arial"/>
                                  <w:b/>
                                  <w:bCs/>
                                  <w:color w:val="FFFFFF"/>
                                  <w:sz w:val="36"/>
                                  <w:szCs w:val="36"/>
                                </w:rPr>
                                <w:t>COVID-19 billing updates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75" w:type="dxa"/>
                                <w:right w:w="150" w:type="dxa"/>
                              </w:tcMar>
                              <w:vAlign w:val="center"/>
                              <w:hideMark/>
                            </w:tcPr>
                            <w:p w:rsidR="004E58E5" w:rsidRPr="004E58E5" w:rsidRDefault="004E58E5" w:rsidP="004E58E5">
                              <w:pPr>
                                <w:spacing w:after="0" w:line="330" w:lineRule="atLeast"/>
                                <w:rPr>
                                  <w:rFonts w:ascii="Arial" w:eastAsia="Calibri" w:hAnsi="Arial" w:cs="Arial"/>
                                  <w:color w:val="444444"/>
                                  <w:sz w:val="21"/>
                                  <w:szCs w:val="21"/>
                                </w:rPr>
                              </w:pPr>
                              <w:r w:rsidRPr="004E58E5">
                                <w:rPr>
                                  <w:rFonts w:ascii="Arial" w:eastAsia="Calibri" w:hAnsi="Arial" w:cs="Arial"/>
                                  <w:color w:val="444444"/>
                                  <w:sz w:val="21"/>
                                  <w:szCs w:val="21"/>
                                </w:rPr>
                                <w:t>As the COVID-19 health emergency persists and evolves, we’ve implemented several new provisions that allow for more flexibility with patient care options.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4E58E5" w:rsidRPr="004E58E5">
                          <w:trPr>
                            <w:jc w:val="center"/>
                          </w:trPr>
                          <w:tc>
                            <w:tcPr>
                              <w:tcW w:w="960" w:type="dxa"/>
                              <w:tcMar>
                                <w:top w:w="375" w:type="dxa"/>
                                <w:left w:w="75" w:type="dxa"/>
                                <w:bottom w:w="375" w:type="dxa"/>
                                <w:right w:w="0" w:type="dxa"/>
                              </w:tcMar>
                              <w:hideMark/>
                            </w:tcPr>
                            <w:p w:rsidR="004E58E5" w:rsidRPr="004E58E5" w:rsidRDefault="004E58E5" w:rsidP="004E58E5">
                              <w:pPr>
                                <w:spacing w:after="0" w:line="300" w:lineRule="atLeast"/>
                                <w:rPr>
                                  <w:rFonts w:ascii="Times New Roman" w:eastAsia="Times New Roman" w:hAnsi="Times New Roman" w:cs="Times New Roman"/>
                                  <w:sz w:val="24"/>
                                  <w:szCs w:val="24"/>
                                </w:rPr>
                              </w:pPr>
                              <w:r w:rsidRPr="004E58E5">
                                <w:rPr>
                                  <w:rFonts w:ascii="Times New Roman" w:eastAsia="Times New Roman" w:hAnsi="Times New Roman" w:cs="Times New Roman"/>
                                  <w:noProof/>
                                  <w:sz w:val="24"/>
                                  <w:szCs w:val="24"/>
                                </w:rPr>
                                <w:drawing>
                                  <wp:inline distT="0" distB="0" distL="0" distR="0" wp14:anchorId="427CAF29" wp14:editId="4D5A0192">
                                    <wp:extent cx="609600" cy="6096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4E58E5" w:rsidRPr="004E58E5" w:rsidRDefault="004E58E5" w:rsidP="004E58E5">
                              <w:pPr>
                                <w:spacing w:after="0" w:line="300" w:lineRule="atLeast"/>
                                <w:rPr>
                                  <w:rFonts w:ascii="Arial" w:eastAsia="Calibri" w:hAnsi="Arial" w:cs="Arial"/>
                                  <w:color w:val="444444"/>
                                  <w:sz w:val="21"/>
                                  <w:szCs w:val="21"/>
                                </w:rPr>
                              </w:pPr>
                              <w:r w:rsidRPr="004E58E5">
                                <w:rPr>
                                  <w:rFonts w:ascii="Arial" w:eastAsia="Calibri" w:hAnsi="Arial" w:cs="Arial"/>
                                  <w:b/>
                                  <w:bCs/>
                                  <w:color w:val="444444"/>
                                  <w:sz w:val="21"/>
                                  <w:szCs w:val="21"/>
                                </w:rPr>
                                <w:t>Acute Hospital Care at Home waivers:</w:t>
                              </w:r>
                              <w:r w:rsidRPr="004E58E5">
                                <w:rPr>
                                  <w:rFonts w:ascii="Arial" w:eastAsia="Calibri" w:hAnsi="Arial" w:cs="Arial"/>
                                  <w:color w:val="444444"/>
                                  <w:sz w:val="21"/>
                                  <w:szCs w:val="21"/>
                                </w:rPr>
                                <w:t xml:space="preserve"> UnitedHealthcare will accept the CMS Acute Hospital Care at Home program waiver for </w:t>
                              </w:r>
                              <w:hyperlink r:id="rId11" w:history="1">
                                <w:r w:rsidRPr="004E58E5">
                                  <w:rPr>
                                    <w:rFonts w:ascii="Arial" w:eastAsia="Calibri" w:hAnsi="Arial" w:cs="Arial"/>
                                    <w:b/>
                                    <w:bCs/>
                                    <w:color w:val="196ECF"/>
                                    <w:sz w:val="21"/>
                                    <w:szCs w:val="21"/>
                                    <w:u w:val="single"/>
                                  </w:rPr>
                                  <w:t>qualifying Medicare Advantage claims</w:t>
                                </w:r>
                              </w:hyperlink>
                              <w:r w:rsidRPr="004E58E5">
                                <w:rPr>
                                  <w:rFonts w:ascii="Arial" w:eastAsia="Calibri" w:hAnsi="Arial" w:cs="Arial"/>
                                  <w:color w:val="444444"/>
                                  <w:sz w:val="21"/>
                                  <w:szCs w:val="21"/>
                                </w:rPr>
                                <w:t xml:space="preserve"> beginning Nov. 1, 2021. The waiver allows qualifying hospitals to receive inpatient payment for providing acute inpatient level of care services to Medicare beneficiaries in their homes.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4E58E5" w:rsidRPr="004E58E5">
                          <w:trPr>
                            <w:jc w:val="center"/>
                          </w:trPr>
                          <w:tc>
                            <w:tcPr>
                              <w:tcW w:w="960" w:type="dxa"/>
                              <w:tcMar>
                                <w:top w:w="225" w:type="dxa"/>
                                <w:left w:w="75" w:type="dxa"/>
                                <w:bottom w:w="375" w:type="dxa"/>
                                <w:right w:w="0" w:type="dxa"/>
                              </w:tcMar>
                              <w:hideMark/>
                            </w:tcPr>
                            <w:p w:rsidR="004E58E5" w:rsidRPr="004E58E5" w:rsidRDefault="004E58E5" w:rsidP="004E58E5">
                              <w:pPr>
                                <w:spacing w:after="0" w:line="300" w:lineRule="atLeast"/>
                                <w:rPr>
                                  <w:rFonts w:ascii="Times New Roman" w:eastAsia="Times New Roman" w:hAnsi="Times New Roman" w:cs="Times New Roman"/>
                                  <w:sz w:val="24"/>
                                  <w:szCs w:val="24"/>
                                </w:rPr>
                              </w:pPr>
                              <w:r w:rsidRPr="004E58E5">
                                <w:rPr>
                                  <w:rFonts w:ascii="Times New Roman" w:eastAsia="Times New Roman" w:hAnsi="Times New Roman" w:cs="Times New Roman"/>
                                  <w:noProof/>
                                  <w:sz w:val="24"/>
                                  <w:szCs w:val="24"/>
                                </w:rPr>
                                <w:drawing>
                                  <wp:inline distT="0" distB="0" distL="0" distR="0" wp14:anchorId="4458A12B" wp14:editId="7B7ED522">
                                    <wp:extent cx="609600" cy="609600"/>
                                    <wp:effectExtent l="0" t="0" r="0" b="0"/>
                                    <wp:docPr id="4" name="Picture 4" descr="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n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375" w:type="dxa"/>
                                <w:right w:w="75" w:type="dxa"/>
                              </w:tcMar>
                              <w:hideMark/>
                            </w:tcPr>
                            <w:p w:rsidR="004E58E5" w:rsidRPr="004E58E5" w:rsidRDefault="004E58E5" w:rsidP="004E58E5">
                              <w:pPr>
                                <w:spacing w:after="0" w:line="300" w:lineRule="atLeast"/>
                                <w:rPr>
                                  <w:rFonts w:ascii="Arial" w:eastAsia="Calibri" w:hAnsi="Arial" w:cs="Arial"/>
                                  <w:color w:val="444444"/>
                                  <w:sz w:val="21"/>
                                  <w:szCs w:val="21"/>
                                </w:rPr>
                              </w:pPr>
                              <w:r w:rsidRPr="004E58E5">
                                <w:rPr>
                                  <w:rFonts w:ascii="Arial" w:eastAsia="Calibri" w:hAnsi="Arial" w:cs="Arial"/>
                                  <w:b/>
                                  <w:bCs/>
                                  <w:color w:val="444444"/>
                                  <w:sz w:val="21"/>
                                  <w:szCs w:val="21"/>
                                </w:rPr>
                                <w:t>Monoclonal antibody treatment in urgent care facilities:</w:t>
                              </w:r>
                              <w:r w:rsidRPr="004E58E5">
                                <w:rPr>
                                  <w:rFonts w:ascii="Arial" w:eastAsia="Calibri" w:hAnsi="Arial" w:cs="Arial"/>
                                  <w:color w:val="444444"/>
                                  <w:sz w:val="21"/>
                                  <w:szCs w:val="21"/>
                                </w:rPr>
                                <w:t xml:space="preserve"> As of Oct. 15, 2021, we will reimburse claims for monoclonal antibody treatment provided by in</w:t>
                              </w:r>
                              <w:r w:rsidRPr="004E58E5">
                                <w:rPr>
                                  <w:rFonts w:ascii="Arial" w:eastAsia="Calibri" w:hAnsi="Arial" w:cs="Arial"/>
                                  <w:color w:val="444444"/>
                                  <w:sz w:val="21"/>
                                  <w:szCs w:val="21"/>
                                </w:rPr>
                                <w:noBreakHyphen/>
                                <w:t>network urgent care facilities. Claims should be submitted with the appropriate HCPCS and administrative codes.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150" w:type="dxa"/>
                                <w:left w:w="150" w:type="dxa"/>
                                <w:bottom w:w="375" w:type="dxa"/>
                                <w:right w:w="150" w:type="dxa"/>
                              </w:tcMar>
                              <w:vAlign w:val="center"/>
                              <w:hideMark/>
                            </w:tcPr>
                            <w:p w:rsidR="004E58E5" w:rsidRPr="004E58E5" w:rsidRDefault="004E58E5" w:rsidP="004E58E5">
                              <w:pPr>
                                <w:spacing w:after="0" w:line="330" w:lineRule="atLeast"/>
                                <w:rPr>
                                  <w:rFonts w:ascii="Arial" w:eastAsia="Calibri" w:hAnsi="Arial" w:cs="Arial"/>
                                  <w:color w:val="444444"/>
                                  <w:sz w:val="21"/>
                                  <w:szCs w:val="21"/>
                                </w:rPr>
                              </w:pPr>
                              <w:r w:rsidRPr="004E58E5">
                                <w:rPr>
                                  <w:rFonts w:ascii="Arial" w:eastAsia="Calibri" w:hAnsi="Arial" w:cs="Arial"/>
                                  <w:color w:val="444444"/>
                                  <w:sz w:val="21"/>
                                  <w:szCs w:val="21"/>
                                </w:rPr>
                                <w:t xml:space="preserve">The </w:t>
                              </w:r>
                              <w:hyperlink r:id="rId13" w:history="1">
                                <w:r w:rsidRPr="004E58E5">
                                  <w:rPr>
                                    <w:rFonts w:ascii="Arial" w:eastAsia="Calibri" w:hAnsi="Arial" w:cs="Arial"/>
                                    <w:b/>
                                    <w:bCs/>
                                    <w:color w:val="196ECF"/>
                                    <w:sz w:val="21"/>
                                    <w:szCs w:val="21"/>
                                    <w:u w:val="single"/>
                                  </w:rPr>
                                  <w:t>COVID-19 Billing Guide</w:t>
                                </w:r>
                              </w:hyperlink>
                              <w:r w:rsidRPr="004E58E5">
                                <w:rPr>
                                  <w:rFonts w:ascii="Arial" w:eastAsia="Calibri" w:hAnsi="Arial" w:cs="Arial"/>
                                  <w:color w:val="444444"/>
                                  <w:sz w:val="21"/>
                                  <w:szCs w:val="21"/>
                                </w:rPr>
                                <w:t xml:space="preserve"> and our </w:t>
                              </w:r>
                              <w:hyperlink r:id="rId14" w:history="1">
                                <w:r w:rsidRPr="004E58E5">
                                  <w:rPr>
                                    <w:rFonts w:ascii="Arial" w:eastAsia="Calibri" w:hAnsi="Arial" w:cs="Arial"/>
                                    <w:b/>
                                    <w:bCs/>
                                    <w:color w:val="196ECF"/>
                                    <w:sz w:val="21"/>
                                    <w:szCs w:val="21"/>
                                    <w:u w:val="single"/>
                                  </w:rPr>
                                  <w:t>website</w:t>
                                </w:r>
                              </w:hyperlink>
                              <w:r w:rsidRPr="004E58E5">
                                <w:rPr>
                                  <w:rFonts w:ascii="Arial" w:eastAsia="Calibri" w:hAnsi="Arial" w:cs="Arial"/>
                                  <w:color w:val="444444"/>
                                  <w:sz w:val="21"/>
                                  <w:szCs w:val="21"/>
                                </w:rPr>
                                <w:t xml:space="preserve"> have been updated with these changes.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450" w:type="dxa"/>
                                <w:right w:w="150" w:type="dxa"/>
                              </w:tcMar>
                              <w:vAlign w:val="center"/>
                              <w:hideMark/>
                            </w:tcPr>
                            <w:p w:rsidR="004E58E5" w:rsidRPr="004E58E5" w:rsidRDefault="004E58E5" w:rsidP="004E58E5">
                              <w:pPr>
                                <w:spacing w:after="75" w:line="450" w:lineRule="atLeast"/>
                                <w:jc w:val="center"/>
                                <w:outlineLvl w:val="1"/>
                                <w:rPr>
                                  <w:rFonts w:ascii="Georgia" w:eastAsia="Times New Roman" w:hAnsi="Georgia" w:cs="Arial"/>
                                  <w:b/>
                                  <w:bCs/>
                                  <w:color w:val="FFFFFF"/>
                                  <w:sz w:val="36"/>
                                  <w:szCs w:val="36"/>
                                </w:rPr>
                              </w:pPr>
                              <w:r w:rsidRPr="004E58E5">
                                <w:rPr>
                                  <w:rFonts w:ascii="Georgia" w:eastAsia="Times New Roman" w:hAnsi="Georgia" w:cs="Arial"/>
                                  <w:b/>
                                  <w:bCs/>
                                  <w:color w:val="FFFFFF"/>
                                  <w:sz w:val="36"/>
                                  <w:szCs w:val="36"/>
                                </w:rPr>
                                <w:t>Helping patients with vaccine hesitancy</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450" w:type="dxa"/>
                                <w:left w:w="150" w:type="dxa"/>
                                <w:bottom w:w="450" w:type="dxa"/>
                                <w:right w:w="150" w:type="dxa"/>
                              </w:tcMar>
                              <w:vAlign w:val="center"/>
                              <w:hideMark/>
                            </w:tcPr>
                            <w:p w:rsidR="004E58E5" w:rsidRPr="004E58E5" w:rsidRDefault="004E58E5" w:rsidP="004E58E5">
                              <w:pPr>
                                <w:spacing w:after="300" w:line="330" w:lineRule="atLeast"/>
                                <w:rPr>
                                  <w:rFonts w:ascii="Arial" w:eastAsia="Calibri" w:hAnsi="Arial" w:cs="Arial"/>
                                  <w:color w:val="444444"/>
                                  <w:sz w:val="21"/>
                                  <w:szCs w:val="21"/>
                                </w:rPr>
                              </w:pPr>
                              <w:r w:rsidRPr="004E58E5">
                                <w:rPr>
                                  <w:rFonts w:ascii="Arial" w:eastAsia="Calibri" w:hAnsi="Arial" w:cs="Arial"/>
                                  <w:color w:val="444444"/>
                                  <w:sz w:val="21"/>
                                  <w:szCs w:val="21"/>
                                </w:rPr>
                                <w:lastRenderedPageBreak/>
                                <w:t>Health care professionals continue to play an important role as patients decide whether or not to be vaccinated for COVID-19. These 2 resources may be useful as you talk with patients:</w:t>
                              </w:r>
                            </w:p>
                            <w:p w:rsidR="004E58E5" w:rsidRPr="004E58E5" w:rsidRDefault="004E58E5" w:rsidP="004E58E5">
                              <w:pPr>
                                <w:numPr>
                                  <w:ilvl w:val="0"/>
                                  <w:numId w:val="3"/>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color w:val="444444"/>
                                  <w:sz w:val="21"/>
                                  <w:szCs w:val="21"/>
                                </w:rPr>
                                <w:t xml:space="preserve">Check out the </w:t>
                              </w:r>
                              <w:hyperlink r:id="rId15" w:history="1">
                                <w:r w:rsidRPr="004E58E5">
                                  <w:rPr>
                                    <w:rFonts w:ascii="Arial" w:eastAsia="Times New Roman" w:hAnsi="Arial" w:cs="Arial"/>
                                    <w:b/>
                                    <w:bCs/>
                                    <w:color w:val="196ECF"/>
                                    <w:sz w:val="21"/>
                                    <w:szCs w:val="21"/>
                                    <w:u w:val="single"/>
                                  </w:rPr>
                                  <w:t>vaccine hesitancy website</w:t>
                                </w:r>
                              </w:hyperlink>
                              <w:r w:rsidRPr="004E58E5">
                                <w:rPr>
                                  <w:rFonts w:ascii="Arial" w:eastAsia="Times New Roman" w:hAnsi="Arial" w:cs="Arial"/>
                                  <w:color w:val="444444"/>
                                  <w:sz w:val="21"/>
                                  <w:szCs w:val="21"/>
                                </w:rPr>
                                <w:t xml:space="preserve"> for materials that can help you have discussions with people who are vaccine hesitant. They are unbranded – meaning they don’t have a UnitedHealthcare logo on them – so you can use them with patients regardless of what health care insurance they have.</w:t>
                              </w:r>
                            </w:p>
                            <w:p w:rsidR="004E58E5" w:rsidRPr="004E58E5" w:rsidRDefault="004E58E5" w:rsidP="004E58E5">
                              <w:pPr>
                                <w:numPr>
                                  <w:ilvl w:val="0"/>
                                  <w:numId w:val="3"/>
                                </w:numPr>
                                <w:spacing w:before="100" w:beforeAutospacing="1" w:after="100" w:afterAutospacing="1" w:line="330" w:lineRule="atLeast"/>
                                <w:rPr>
                                  <w:rFonts w:ascii="Arial" w:eastAsia="Times New Roman" w:hAnsi="Arial" w:cs="Arial"/>
                                  <w:color w:val="444444"/>
                                  <w:sz w:val="21"/>
                                  <w:szCs w:val="21"/>
                                </w:rPr>
                              </w:pPr>
                              <w:r w:rsidRPr="004E58E5">
                                <w:rPr>
                                  <w:rFonts w:ascii="Arial" w:eastAsia="Times New Roman" w:hAnsi="Arial" w:cs="Arial"/>
                                  <w:color w:val="444444"/>
                                  <w:sz w:val="21"/>
                                  <w:szCs w:val="21"/>
                                </w:rPr>
                                <w:t xml:space="preserve">Review our </w:t>
                              </w:r>
                              <w:hyperlink r:id="rId16" w:history="1">
                                <w:r w:rsidRPr="004E58E5">
                                  <w:rPr>
                                    <w:rFonts w:ascii="Arial" w:eastAsia="Times New Roman" w:hAnsi="Arial" w:cs="Arial"/>
                                    <w:b/>
                                    <w:bCs/>
                                    <w:color w:val="196ECF"/>
                                    <w:sz w:val="21"/>
                                    <w:szCs w:val="21"/>
                                    <w:u w:val="single"/>
                                  </w:rPr>
                                  <w:t>Building COVID-19 Vaccine Confidence</w:t>
                                </w:r>
                              </w:hyperlink>
                              <w:r w:rsidRPr="004E58E5">
                                <w:rPr>
                                  <w:rFonts w:ascii="Arial" w:eastAsia="Times New Roman" w:hAnsi="Arial" w:cs="Arial"/>
                                  <w:color w:val="444444"/>
                                  <w:sz w:val="21"/>
                                  <w:szCs w:val="21"/>
                                </w:rPr>
                                <w:t xml:space="preserve"> self-paced learning course for tips and scenarios that will help you respond during conversations with members.</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4E58E5" w:rsidRPr="004E58E5">
                          <w:trPr>
                            <w:jc w:val="center"/>
                          </w:trPr>
                          <w:tc>
                            <w:tcPr>
                              <w:tcW w:w="0" w:type="auto"/>
                              <w:tcMar>
                                <w:top w:w="225" w:type="dxa"/>
                                <w:left w:w="150" w:type="dxa"/>
                                <w:bottom w:w="225" w:type="dxa"/>
                                <w:right w:w="150" w:type="dxa"/>
                              </w:tcMar>
                              <w:vAlign w:val="center"/>
                              <w:hideMark/>
                            </w:tcPr>
                            <w:p w:rsidR="004E58E5" w:rsidRPr="004E58E5" w:rsidRDefault="004E58E5" w:rsidP="004E58E5">
                              <w:pPr>
                                <w:spacing w:after="0" w:line="330" w:lineRule="atLeast"/>
                                <w:rPr>
                                  <w:rFonts w:ascii="Arial" w:eastAsia="Calibri" w:hAnsi="Arial" w:cs="Arial"/>
                                  <w:color w:val="002677"/>
                                  <w:sz w:val="21"/>
                                  <w:szCs w:val="21"/>
                                </w:rPr>
                              </w:pPr>
                              <w:r w:rsidRPr="004E58E5">
                                <w:rPr>
                                  <w:rFonts w:ascii="Arial" w:eastAsia="Calibri" w:hAnsi="Arial" w:cs="Arial"/>
                                  <w:b/>
                                  <w:bCs/>
                                  <w:color w:val="002677"/>
                                  <w:sz w:val="21"/>
                                  <w:szCs w:val="21"/>
                                </w:rPr>
                                <w:t>We will continue to monitor the discussions regarding authorization of vaccine boosters, as well as vaccine availability for various age groups. We’ll update our materials as soon as possible after those decisions are made by the FDA and CDC.</w:t>
                              </w:r>
                              <w:r w:rsidRPr="004E58E5">
                                <w:rPr>
                                  <w:rFonts w:ascii="Arial" w:eastAsia="Calibri" w:hAnsi="Arial" w:cs="Arial"/>
                                  <w:b/>
                                  <w:bCs/>
                                  <w:color w:val="002677"/>
                                  <w:sz w:val="21"/>
                                  <w:szCs w:val="21"/>
                                </w:rPr>
                                <w:br/>
                              </w:r>
                              <w:r w:rsidRPr="004E58E5">
                                <w:rPr>
                                  <w:rFonts w:ascii="Arial" w:eastAsia="Calibri" w:hAnsi="Arial" w:cs="Arial"/>
                                  <w:b/>
                                  <w:bCs/>
                                  <w:color w:val="002677"/>
                                  <w:sz w:val="21"/>
                                  <w:szCs w:val="21"/>
                                </w:rPr>
                                <w:br/>
                                <w:t>We appreciate your continued focus on putting patient care first during the COVID-19 national public health emergency. You are providing exceptional care in unprecedented circumstances. Thank you for your continuous efforts to keep our members healthy and informed.</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E58E5" w:rsidRPr="004E58E5">
                          <w:trPr>
                            <w:jc w:val="center"/>
                          </w:trPr>
                          <w:tc>
                            <w:tcPr>
                              <w:tcW w:w="0" w:type="auto"/>
                              <w:tcMar>
                                <w:top w:w="300" w:type="dxa"/>
                                <w:left w:w="150" w:type="dxa"/>
                                <w:bottom w:w="450" w:type="dxa"/>
                                <w:right w:w="150" w:type="dxa"/>
                              </w:tcMar>
                              <w:hideMark/>
                            </w:tcPr>
                            <w:p w:rsidR="004E58E5" w:rsidRPr="004E58E5" w:rsidRDefault="004E58E5" w:rsidP="004E58E5">
                              <w:pPr>
                                <w:spacing w:before="100" w:beforeAutospacing="1" w:after="100" w:afterAutospacing="1" w:line="270" w:lineRule="atLeast"/>
                                <w:rPr>
                                  <w:rFonts w:ascii="Arial" w:eastAsia="Calibri" w:hAnsi="Arial" w:cs="Arial"/>
                                  <w:color w:val="636363"/>
                                  <w:sz w:val="17"/>
                                  <w:szCs w:val="17"/>
                                </w:rPr>
                              </w:pPr>
                              <w:r w:rsidRPr="004E58E5">
                                <w:rPr>
                                  <w:rFonts w:ascii="Arial" w:eastAsia="Calibri" w:hAnsi="Arial" w:cs="Arial"/>
                                  <w:color w:val="636363"/>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sidRPr="004E58E5">
                                <w:rPr>
                                  <w:rFonts w:ascii="Arial" w:eastAsia="Calibri" w:hAnsi="Arial" w:cs="Arial"/>
                                  <w:color w:val="636363"/>
                                  <w:sz w:val="17"/>
                                  <w:szCs w:val="17"/>
                                </w:rPr>
                                <w:t>OptumHealth</w:t>
                              </w:r>
                              <w:proofErr w:type="spellEnd"/>
                              <w:r w:rsidRPr="004E58E5">
                                <w:rPr>
                                  <w:rFonts w:ascii="Arial" w:eastAsia="Calibri" w:hAnsi="Arial" w:cs="Arial"/>
                                  <w:color w:val="636363"/>
                                  <w:sz w:val="17"/>
                                  <w:szCs w:val="17"/>
                                </w:rPr>
                                <w:t xml:space="preserve"> Care Solutions, LLC, </w:t>
                              </w:r>
                              <w:proofErr w:type="spellStart"/>
                              <w:r w:rsidRPr="004E58E5">
                                <w:rPr>
                                  <w:rFonts w:ascii="Arial" w:eastAsia="Calibri" w:hAnsi="Arial" w:cs="Arial"/>
                                  <w:color w:val="636363"/>
                                  <w:sz w:val="17"/>
                                  <w:szCs w:val="17"/>
                                </w:rPr>
                                <w:t>OptumRx</w:t>
                              </w:r>
                              <w:proofErr w:type="spellEnd"/>
                              <w:r w:rsidRPr="004E58E5">
                                <w:rPr>
                                  <w:rFonts w:ascii="Arial" w:eastAsia="Calibri" w:hAnsi="Arial" w:cs="Arial"/>
                                  <w:color w:val="636363"/>
                                  <w:sz w:val="17"/>
                                  <w:szCs w:val="17"/>
                                </w:rPr>
                                <w:t xml:space="preserve">, Oxford Health Plans LLC, United HealthCare Services, Inc., or other affiliates. Behavioral health products provided by U.S. Behavioral Health Plan, California (USBHPC), or its affiliates. </w:t>
                              </w:r>
                              <w:r w:rsidRPr="004E58E5">
                                <w:rPr>
                                  <w:rFonts w:ascii="Arial" w:eastAsia="Calibri" w:hAnsi="Arial" w:cs="Arial"/>
                                  <w:color w:val="636363"/>
                                  <w:sz w:val="17"/>
                                  <w:szCs w:val="17"/>
                                </w:rPr>
                                <w:br/>
                              </w:r>
                              <w:r w:rsidRPr="004E58E5">
                                <w:rPr>
                                  <w:rFonts w:ascii="Arial" w:eastAsia="Calibri" w:hAnsi="Arial" w:cs="Arial"/>
                                  <w:color w:val="636363"/>
                                  <w:sz w:val="17"/>
                                  <w:szCs w:val="17"/>
                                </w:rPr>
                                <w:br/>
                                <w:t>PCA-1-21-03947-MarComm-EM_10272021</w:t>
                              </w:r>
                            </w:p>
                            <w:p w:rsidR="004E58E5" w:rsidRPr="004E58E5" w:rsidRDefault="004E58E5" w:rsidP="004E58E5">
                              <w:pPr>
                                <w:spacing w:before="100" w:beforeAutospacing="1" w:after="100" w:afterAutospacing="1" w:line="270" w:lineRule="atLeast"/>
                                <w:rPr>
                                  <w:rFonts w:ascii="Arial" w:eastAsia="Calibri" w:hAnsi="Arial" w:cs="Arial"/>
                                  <w:color w:val="636363"/>
                                  <w:sz w:val="17"/>
                                  <w:szCs w:val="17"/>
                                </w:rPr>
                              </w:pPr>
                              <w:r w:rsidRPr="004E58E5">
                                <w:rPr>
                                  <w:rFonts w:ascii="Arial" w:eastAsia="Calibri" w:hAnsi="Arial" w:cs="Arial"/>
                                  <w:color w:val="636363"/>
                                  <w:sz w:val="17"/>
                                  <w:szCs w:val="17"/>
                                </w:rPr>
                                <w:t>© 2021 United HealthCare Services, Inc. All Rights Reserved.</w:t>
                              </w:r>
                              <w:r w:rsidRPr="004E58E5">
                                <w:rPr>
                                  <w:rFonts w:ascii="Arial" w:eastAsia="Calibri" w:hAnsi="Arial" w:cs="Arial"/>
                                  <w:color w:val="636363"/>
                                  <w:sz w:val="17"/>
                                  <w:szCs w:val="17"/>
                                </w:rPr>
                                <w:br/>
                              </w:r>
                              <w:r w:rsidRPr="004E58E5">
                                <w:rPr>
                                  <w:rFonts w:ascii="Arial" w:eastAsia="Calibri" w:hAnsi="Arial" w:cs="Arial"/>
                                  <w:color w:val="636363"/>
                                  <w:sz w:val="17"/>
                                  <w:szCs w:val="17"/>
                                </w:rPr>
                                <w:br/>
                              </w:r>
                              <w:r w:rsidRPr="004E58E5">
                                <w:rPr>
                                  <w:rFonts w:ascii="Arial" w:eastAsia="Calibri" w:hAnsi="Arial" w:cs="Arial"/>
                                  <w:color w:val="636363"/>
                                  <w:sz w:val="17"/>
                                  <w:szCs w:val="17"/>
                                </w:rPr>
                                <w:lastRenderedPageBreak/>
                                <w:t xml:space="preserve">This is a message from UnitedHealthcare. You are receiving this email because you are either a registered user of </w:t>
                              </w:r>
                              <w:hyperlink r:id="rId17" w:history="1">
                                <w:r w:rsidRPr="004E58E5">
                                  <w:rPr>
                                    <w:rFonts w:ascii="Arial" w:eastAsia="Calibri" w:hAnsi="Arial" w:cs="Arial"/>
                                    <w:color w:val="666666"/>
                                    <w:sz w:val="17"/>
                                    <w:szCs w:val="17"/>
                                    <w:u w:val="single"/>
                                  </w:rPr>
                                  <w:t>UHCprovider.com</w:t>
                                </w:r>
                              </w:hyperlink>
                              <w:r w:rsidRPr="004E58E5">
                                <w:rPr>
                                  <w:rFonts w:ascii="Arial" w:eastAsia="Calibri" w:hAnsi="Arial" w:cs="Arial"/>
                                  <w:color w:val="636363"/>
                                  <w:sz w:val="17"/>
                                  <w:szCs w:val="17"/>
                                </w:rPr>
                                <w:t xml:space="preserve"> or have contracted or subscribed to receive email communications from UnitedHealthcare. We respect your right to privacy. Visit our website to read our </w:t>
                              </w:r>
                              <w:hyperlink r:id="rId18" w:history="1">
                                <w:r w:rsidRPr="004E58E5">
                                  <w:rPr>
                                    <w:rFonts w:ascii="Arial" w:eastAsia="Calibri" w:hAnsi="Arial" w:cs="Arial"/>
                                    <w:color w:val="666666"/>
                                    <w:sz w:val="17"/>
                                    <w:szCs w:val="17"/>
                                    <w:u w:val="single"/>
                                  </w:rPr>
                                  <w:t>Privacy Policy</w:t>
                                </w:r>
                              </w:hyperlink>
                              <w:r w:rsidRPr="004E58E5">
                                <w:rPr>
                                  <w:rFonts w:ascii="Arial" w:eastAsia="Calibri" w:hAnsi="Arial" w:cs="Arial"/>
                                  <w:color w:val="636363"/>
                                  <w:sz w:val="17"/>
                                  <w:szCs w:val="17"/>
                                </w:rPr>
                                <w:t xml:space="preserve"> and </w:t>
                              </w:r>
                              <w:hyperlink r:id="rId19" w:history="1">
                                <w:r w:rsidRPr="004E58E5">
                                  <w:rPr>
                                    <w:rFonts w:ascii="Arial" w:eastAsia="Calibri" w:hAnsi="Arial" w:cs="Arial"/>
                                    <w:color w:val="666666"/>
                                    <w:sz w:val="17"/>
                                    <w:szCs w:val="17"/>
                                    <w:u w:val="single"/>
                                  </w:rPr>
                                  <w:t>Security Notice</w:t>
                                </w:r>
                              </w:hyperlink>
                              <w:r w:rsidRPr="004E58E5">
                                <w:rPr>
                                  <w:rFonts w:ascii="Arial" w:eastAsia="Calibri" w:hAnsi="Arial" w:cs="Arial"/>
                                  <w:color w:val="636363"/>
                                  <w:sz w:val="17"/>
                                  <w:szCs w:val="17"/>
                                </w:rPr>
                                <w:t>. To unsubscribe from future email communications or to change your email address, visit our email preferences page.</w:t>
                              </w: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r w:rsidR="004E58E5" w:rsidRPr="004E58E5">
                    <w:trPr>
                      <w:jc w:val="center"/>
                    </w:trPr>
                    <w:tc>
                      <w:tcPr>
                        <w:tcW w:w="0" w:type="auto"/>
                        <w:shd w:val="clear" w:color="auto" w:fill="F5F5F5"/>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4E58E5" w:rsidRPr="004E58E5">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4E58E5" w:rsidRPr="004E58E5">
                                <w:tc>
                                  <w:tcPr>
                                    <w:tcW w:w="2040" w:type="dxa"/>
                                    <w:tcMar>
                                      <w:top w:w="0" w:type="dxa"/>
                                      <w:left w:w="150" w:type="dxa"/>
                                      <w:bottom w:w="300" w:type="dxa"/>
                                      <w:right w:w="0" w:type="dxa"/>
                                    </w:tcMar>
                                    <w:hideMark/>
                                  </w:tcPr>
                                  <w:p w:rsidR="004E58E5" w:rsidRPr="004E58E5" w:rsidRDefault="004E58E5" w:rsidP="004E58E5">
                                    <w:pPr>
                                      <w:spacing w:after="0" w:line="240" w:lineRule="auto"/>
                                      <w:rPr>
                                        <w:rFonts w:ascii="Times New Roman" w:eastAsia="Times New Roman" w:hAnsi="Times New Roman" w:cs="Times New Roman"/>
                                        <w:sz w:val="24"/>
                                        <w:szCs w:val="24"/>
                                      </w:rPr>
                                    </w:pPr>
                                    <w:r w:rsidRPr="004E58E5">
                                      <w:rPr>
                                        <w:rFonts w:ascii="Times New Roman" w:eastAsia="Times New Roman" w:hAnsi="Times New Roman" w:cs="Times New Roman"/>
                                        <w:noProof/>
                                        <w:sz w:val="24"/>
                                        <w:szCs w:val="24"/>
                                      </w:rPr>
                                      <w:lastRenderedPageBreak/>
                                      <w:drawing>
                                        <wp:inline distT="0" distB="0" distL="0" distR="0" wp14:anchorId="172BD055" wp14:editId="297F461C">
                                          <wp:extent cx="1295400" cy="390525"/>
                                          <wp:effectExtent l="0" t="0" r="0" b="9525"/>
                                          <wp:docPr id="5" name="Picture 5"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Healthca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4E58E5" w:rsidRPr="004E58E5" w:rsidRDefault="004E58E5" w:rsidP="004E58E5">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4E58E5" w:rsidRPr="004E58E5">
                                <w:tc>
                                  <w:tcPr>
                                    <w:tcW w:w="0" w:type="auto"/>
                                    <w:tcMar>
                                      <w:top w:w="0" w:type="dxa"/>
                                      <w:left w:w="150" w:type="dxa"/>
                                      <w:bottom w:w="150" w:type="dxa"/>
                                      <w:right w:w="0" w:type="dxa"/>
                                    </w:tcMar>
                                    <w:hideMark/>
                                  </w:tcPr>
                                  <w:p w:rsidR="004E58E5" w:rsidRPr="004E58E5" w:rsidRDefault="004E58E5" w:rsidP="004E58E5">
                                    <w:pPr>
                                      <w:spacing w:after="100" w:afterAutospacing="1" w:line="240" w:lineRule="atLeast"/>
                                      <w:rPr>
                                        <w:rFonts w:ascii="Arial" w:eastAsia="Calibri" w:hAnsi="Arial" w:cs="Arial"/>
                                        <w:color w:val="63666A"/>
                                        <w:sz w:val="17"/>
                                        <w:szCs w:val="17"/>
                                      </w:rPr>
                                    </w:pPr>
                                    <w:r w:rsidRPr="004E58E5">
                                      <w:rPr>
                                        <w:rFonts w:ascii="Arial" w:eastAsia="Calibri" w:hAnsi="Arial" w:cs="Arial"/>
                                        <w:color w:val="63666A"/>
                                        <w:sz w:val="17"/>
                                        <w:szCs w:val="17"/>
                                      </w:rPr>
                                      <w:t>This email was sent to:</w:t>
                                    </w:r>
                                    <w:bookmarkStart w:id="0" w:name="_GoBack"/>
                                    <w:bookmarkEnd w:id="0"/>
                                    <w:r w:rsidRPr="004E58E5">
                                      <w:rPr>
                                        <w:rFonts w:ascii="Arial" w:eastAsia="Calibri" w:hAnsi="Arial" w:cs="Arial"/>
                                        <w:color w:val="63666A"/>
                                        <w:sz w:val="17"/>
                                        <w:szCs w:val="17"/>
                                      </w:rPr>
                                      <w:t xml:space="preserve"> </w:t>
                                    </w:r>
                                    <w:r w:rsidRPr="004E58E5">
                                      <w:rPr>
                                        <w:rFonts w:ascii="Arial" w:eastAsia="Calibri" w:hAnsi="Arial" w:cs="Arial"/>
                                        <w:color w:val="63666A"/>
                                        <w:sz w:val="17"/>
                                        <w:szCs w:val="17"/>
                                      </w:rPr>
                                      <w:br/>
                                      <w:t>This email was sent by:</w:t>
                                    </w:r>
                                    <w:r w:rsidRPr="004E58E5">
                                      <w:rPr>
                                        <w:rFonts w:ascii="Arial" w:eastAsia="Calibri" w:hAnsi="Arial" w:cs="Arial"/>
                                        <w:color w:val="63666A"/>
                                        <w:sz w:val="17"/>
                                        <w:szCs w:val="17"/>
                                      </w:rPr>
                                      <w:br/>
                                      <w:t>UnitedHealthcare</w:t>
                                    </w:r>
                                    <w:r w:rsidRPr="004E58E5">
                                      <w:rPr>
                                        <w:rFonts w:ascii="Arial" w:eastAsia="Calibri" w:hAnsi="Arial" w:cs="Arial"/>
                                        <w:color w:val="63666A"/>
                                        <w:sz w:val="17"/>
                                        <w:szCs w:val="17"/>
                                      </w:rPr>
                                      <w:br/>
                                      <w:t>9700 Health Care Lane, Minnetonka, MN 55343 USA</w:t>
                                    </w:r>
                                  </w:p>
                                  <w:p w:rsidR="004E58E5" w:rsidRPr="004E58E5" w:rsidRDefault="004E58E5" w:rsidP="004E58E5">
                                    <w:pPr>
                                      <w:spacing w:before="100" w:beforeAutospacing="1" w:after="100" w:afterAutospacing="1" w:line="240" w:lineRule="atLeast"/>
                                      <w:rPr>
                                        <w:rFonts w:ascii="Arial" w:eastAsia="Calibri" w:hAnsi="Arial" w:cs="Arial"/>
                                        <w:color w:val="63666A"/>
                                        <w:sz w:val="17"/>
                                        <w:szCs w:val="17"/>
                                      </w:rPr>
                                    </w:pPr>
                                    <w:hyperlink r:id="rId21" w:tgtFrame="_blank" w:history="1">
                                      <w:r w:rsidRPr="004E58E5">
                                        <w:rPr>
                                          <w:rFonts w:ascii="Arial" w:eastAsia="Calibri" w:hAnsi="Arial" w:cs="Arial"/>
                                          <w:color w:val="196ECF"/>
                                          <w:sz w:val="17"/>
                                          <w:szCs w:val="17"/>
                                          <w:u w:val="single"/>
                                        </w:rPr>
                                        <w:t>Preference Center</w:t>
                                      </w:r>
                                    </w:hyperlink>
                                    <w:r w:rsidRPr="004E58E5">
                                      <w:rPr>
                                        <w:rFonts w:ascii="Arial" w:eastAsia="Calibri" w:hAnsi="Arial" w:cs="Arial"/>
                                        <w:color w:val="63666A"/>
                                        <w:sz w:val="17"/>
                                        <w:szCs w:val="17"/>
                                      </w:rPr>
                                      <w:t xml:space="preserve"> | </w:t>
                                    </w:r>
                                    <w:hyperlink r:id="rId22" w:tgtFrame="_blank" w:history="1">
                                      <w:r w:rsidRPr="004E58E5">
                                        <w:rPr>
                                          <w:rFonts w:ascii="Arial" w:eastAsia="Calibri" w:hAnsi="Arial" w:cs="Arial"/>
                                          <w:color w:val="196ECF"/>
                                          <w:sz w:val="17"/>
                                          <w:szCs w:val="17"/>
                                          <w:u w:val="single"/>
                                        </w:rPr>
                                        <w:t>Unsubscribe</w:t>
                                      </w:r>
                                    </w:hyperlink>
                                    <w:r w:rsidRPr="004E58E5">
                                      <w:rPr>
                                        <w:rFonts w:ascii="Arial" w:eastAsia="Calibri" w:hAnsi="Arial" w:cs="Arial"/>
                                        <w:color w:val="63666A"/>
                                        <w:sz w:val="17"/>
                                        <w:szCs w:val="17"/>
                                      </w:rPr>
                                      <w:t xml:space="preserve"> | </w:t>
                                    </w:r>
                                    <w:hyperlink r:id="rId23" w:tgtFrame="_blank" w:history="1">
                                      <w:r w:rsidRPr="004E58E5">
                                        <w:rPr>
                                          <w:rFonts w:ascii="Arial" w:eastAsia="Calibri" w:hAnsi="Arial" w:cs="Arial"/>
                                          <w:color w:val="196ECF"/>
                                          <w:sz w:val="17"/>
                                          <w:szCs w:val="17"/>
                                          <w:u w:val="single"/>
                                        </w:rPr>
                                        <w:t>Privacy Policy</w:t>
                                      </w:r>
                                    </w:hyperlink>
                                    <w:r w:rsidRPr="004E58E5">
                                      <w:rPr>
                                        <w:rFonts w:ascii="Arial" w:eastAsia="Calibri" w:hAnsi="Arial" w:cs="Arial"/>
                                        <w:color w:val="63666A"/>
                                        <w:sz w:val="17"/>
                                        <w:szCs w:val="17"/>
                                      </w:rPr>
                                      <w:br/>
                                    </w:r>
                                    <w:r w:rsidRPr="004E58E5">
                                      <w:rPr>
                                        <w:rFonts w:ascii="Arial" w:eastAsia="Calibri" w:hAnsi="Arial" w:cs="Arial"/>
                                        <w:color w:val="63666A"/>
                                        <w:sz w:val="17"/>
                                        <w:szCs w:val="17"/>
                                      </w:rPr>
                                      <w:br/>
                                      <w:t>Please do not reply to this email address; this mailbox is used for outbound email only.</w:t>
                                    </w:r>
                                  </w:p>
                                </w:tc>
                              </w:tr>
                            </w:tbl>
                            <w:p w:rsidR="004E58E5" w:rsidRPr="004E58E5" w:rsidRDefault="004E58E5" w:rsidP="004E58E5">
                              <w:pPr>
                                <w:spacing w:after="0" w:line="240" w:lineRule="auto"/>
                                <w:rPr>
                                  <w:rFonts w:ascii="Times New Roman" w:eastAsia="Times New Roman" w:hAnsi="Times New Roman" w:cs="Times New Roman"/>
                                  <w:sz w:val="20"/>
                                  <w:szCs w:val="20"/>
                                </w:rPr>
                              </w:pP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bl>
          <w:p w:rsidR="004E58E5" w:rsidRPr="004E58E5" w:rsidRDefault="004E58E5" w:rsidP="004E58E5">
            <w:pPr>
              <w:spacing w:after="0" w:line="240" w:lineRule="auto"/>
              <w:jc w:val="center"/>
              <w:rPr>
                <w:rFonts w:ascii="Times New Roman" w:eastAsia="Times New Roman" w:hAnsi="Times New Roman" w:cs="Times New Roman"/>
                <w:sz w:val="20"/>
                <w:szCs w:val="20"/>
              </w:rPr>
            </w:pPr>
          </w:p>
        </w:tc>
      </w:tr>
    </w:tbl>
    <w:p w:rsidR="004E58E5" w:rsidRPr="004E58E5" w:rsidRDefault="004E58E5" w:rsidP="004E58E5">
      <w:pPr>
        <w:spacing w:after="0" w:line="240" w:lineRule="auto"/>
        <w:rPr>
          <w:rFonts w:ascii="Times New Roman" w:eastAsia="Times New Roman" w:hAnsi="Times New Roman" w:cs="Times New Roman"/>
          <w:sz w:val="24"/>
          <w:szCs w:val="24"/>
        </w:rPr>
      </w:pPr>
    </w:p>
    <w:p w:rsidR="00094884" w:rsidRDefault="00094884"/>
    <w:sectPr w:rsidR="0009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FDC"/>
    <w:multiLevelType w:val="multilevel"/>
    <w:tmpl w:val="7E90E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33BCA"/>
    <w:multiLevelType w:val="multilevel"/>
    <w:tmpl w:val="0D606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25503"/>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E5"/>
    <w:rsid w:val="00094884"/>
    <w:rsid w:val="004E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B3AC-ACF0-427A-BDBF-FA62ADD7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click.provideremail.uhc.com/?qs=067797a60345c39221ef5c5197df0ff2df5c45328c41ac4066f594e6bde4162af950aed49cad055d5806bdbe86140c961765325c6d2d311c5ff73b1c3eb31c52__;!!KZd1Y3y2zDCptWw!8XcjXd7R94L91dQbHyo6d51jxraWchfBtMYUoctP0Juq9o7utF2pQ6GurClUdOc$" TargetMode="External"/><Relationship Id="rId13" Type="http://schemas.openxmlformats.org/officeDocument/2006/relationships/hyperlink" Target="https://urldefense.com/v3/__https:/click.provideremail.uhc.com/?qs=067797a60345c3928adc1840933eedafe4736a13a72f79cceaf4c16502101c094ccbd48eff5c7ffa510c0ab0f8290a7fd9630093a8cdf879beb54dfdf411a19f__;!!KZd1Y3y2zDCptWw!8XcjXd7R94L91dQbHyo6d51jxraWchfBtMYUoctP0Juq9o7utF2pQ6GukXGzplk$" TargetMode="External"/><Relationship Id="rId18" Type="http://schemas.openxmlformats.org/officeDocument/2006/relationships/hyperlink" Target="https://urldefense.com/v3/__https:/click.provideremail.uhc.com/?qs=2191b64a475cbf063fd6e7ed6a84dd55ae864cb75ada7514c74ebf370fc745e1459017dd4b5851216da8efccc3b5568667a25a6d754cf2c96f600c43c8cdda1e__;!!KZd1Y3y2zDCptWw!8XcjXd7R94L91dQbHyo6d51jxraWchfBtMYUoctP0Juq9o7utF2pQ6GuQBnw7FU$" TargetMode="External"/><Relationship Id="rId3" Type="http://schemas.openxmlformats.org/officeDocument/2006/relationships/settings" Target="settings.xml"/><Relationship Id="rId21" Type="http://schemas.openxmlformats.org/officeDocument/2006/relationships/hyperlink" Target="https://urldefense.com/v3/__https:/click.provideremail.uhc.com/?qs=2191b64a475cbf063a76e0629796920daddc015d36549c9dca28cffd8ade3e105d47bec574b74142ebb86c713733a151898d2ae32352614a5a3ad6e0d35a311d__;!!KZd1Y3y2zDCptWw!8XcjXd7R94L91dQbHyo6d51jxraWchfBtMYUoctP0Juq9o7utF2pQ6Gusn4pZ1U$"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urldefense.com/v3/__https:/click.provideremail.uhc.com/?qs=067797a60345c392519950adad63e744ab1611c03373c83e57d97e2e659dd9b1651e9053e97d71ee1e296e905b000499291613719ecbd86c85d0e7d8928560ae__;!!KZd1Y3y2zDCptWw!8XcjXd7R94L91dQbHyo6d51jxraWchfBtMYUoctP0Juq9o7utF2pQ6GuBNeHLw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click.provideremail.uhc.com/?qs=067797a60345c392c890521b7099cf1e73245340b02b660ca310efe11219bc6d8f55c33f2d61e9e6f8fac2aefd54d5918bd20531b57044bb5337e4260cea24a9__;!!KZd1Y3y2zDCptWw!8XcjXd7R94L91dQbHyo6d51jxraWchfBtMYUoctP0Juq9o7utF2pQ6Gu1UNDmS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com/v3/__https:/click.provideremail.uhc.com/?qs=067797a60345c392d59d0709031f451972d62c09dac49a362a443455e5bf8c7f038c465bd62891f27fe3094fa612781454de6a55ecbbaa765c58f52c6054165d__;!!KZd1Y3y2zDCptWw!8XcjXd7R94L91dQbHyo6d51jxraWchfBtMYUoctP0Juq9o7utF2pQ6Gus5IVXtc$" TargetMode="External"/><Relationship Id="rId24" Type="http://schemas.openxmlformats.org/officeDocument/2006/relationships/fontTable" Target="fontTable.xml"/><Relationship Id="rId5" Type="http://schemas.openxmlformats.org/officeDocument/2006/relationships/hyperlink" Target="https://urldefense.com/v3/__https:/view.provideremail.uhc.com/?qs=0e2d05ee839f913a12d6a856ee6e4fee086fef052f4793d4b2f1defa555cb5447aa3aec037652d8a377c59061a8d9818fbf1d80f9361c956ae956bccf9be50d5e4fb240b9fcb599fd80ef93342ed681089f8f817a294313c__;!!KZd1Y3y2zDCptWw!8XcjXd7R94L91dQbHyo6d51jxraWchfBtMYUoctP0Juq9o7utF2pQ6GuOrZzYBI$" TargetMode="External"/><Relationship Id="rId15" Type="http://schemas.openxmlformats.org/officeDocument/2006/relationships/hyperlink" Target="https://urldefense.com/v3/__https:/click.provideremail.uhc.com/?qs=067797a60345c39201a74bf33539b2352775e1658421f3db7246e178f088d8245c5bd37dab37e4c59be0490a630d424b6cc1779beca84f9c16774e087385cd85__;!!KZd1Y3y2zDCptWw!8XcjXd7R94L91dQbHyo6d51jxraWchfBtMYUoctP0Juq9o7utF2pQ6GuLWmmjJ0$" TargetMode="External"/><Relationship Id="rId23" Type="http://schemas.openxmlformats.org/officeDocument/2006/relationships/hyperlink" Target="https://urldefense.com/v3/__https:/click.provideremail.uhc.com/?qs=2191b64a475cbf06944b47c62f66ddb997b1d0dbcb216e708f837cbc8399cb3deec11dd25c901a2356273d17d726dd1b90dfbd25e5a6e7e8066bd4a5d34a9a88__;!!KZd1Y3y2zDCptWw!8XcjXd7R94L91dQbHyo6d51jxraWchfBtMYUoctP0Juq9o7utF2pQ6GuMbiN0L0$" TargetMode="External"/><Relationship Id="rId10" Type="http://schemas.openxmlformats.org/officeDocument/2006/relationships/image" Target="media/image3.png"/><Relationship Id="rId19" Type="http://schemas.openxmlformats.org/officeDocument/2006/relationships/hyperlink" Target="https://urldefense.com/v3/__https:/click.provideremail.uhc.com/?qs=2191b64a475cbf06c0032648fa4dc6fdebbc69de42870ecdf913986e9241cef01ae81850d26fe247e4666f15cb05e63cf5af275c07bc88264db0079722954f5a__;!!KZd1Y3y2zDCptWw!8XcjXd7R94L91dQbHyo6d51jxraWchfBtMYUoctP0Juq9o7utF2pQ6GuC3gPaMw$" TargetMode="External"/><Relationship Id="rId4" Type="http://schemas.openxmlformats.org/officeDocument/2006/relationships/webSettings" Target="webSettings.xml"/><Relationship Id="rId9" Type="http://schemas.openxmlformats.org/officeDocument/2006/relationships/hyperlink" Target="https://urldefense.com/v3/__https:/click.provideremail.uhc.com/?qs=067797a60345c3923f7002b988d92361d18b301eaa41dd0408d5e3f626a101c53094f55f540917597e74ac5f09fd2544ece937868b8f1ad34b02f51f5816e17c__;!!KZd1Y3y2zDCptWw!8XcjXd7R94L91dQbHyo6d51jxraWchfBtMYUoctP0Juq9o7utF2pQ6Gun3lQrUI$" TargetMode="External"/><Relationship Id="rId14" Type="http://schemas.openxmlformats.org/officeDocument/2006/relationships/hyperlink" Target="https://urldefense.com/v3/__https:/click.provideremail.uhc.com/?qs=067797a60345c3925b605f4230a08d961dcafd961fe9aa6a899396f1f3351e55bb1ebe56b3651ce732780c809ee70a359f22c3cc9fbf37dd17e600ccf8f4ea01__;!!KZd1Y3y2zDCptWw!8XcjXd7R94L91dQbHyo6d51jxraWchfBtMYUoctP0Juq9o7utF2pQ6GuPbr0V3s$" TargetMode="External"/><Relationship Id="rId22" Type="http://schemas.openxmlformats.org/officeDocument/2006/relationships/hyperlink" Target="https://urldefense.com/v3/__https:/click.provideremail.uhc.com/?qs=2191b64a475cbf0605a7b9872a3225fd688711d1696018378b4c4e4d063fdf69a5a2dcb4c35424a79dfa8f3f12d9cbf7f53c28f71888296724add78123f322ce__;!!KZd1Y3y2zDCptWw!8XcjXd7R94L91dQbHyo6d51jxraWchfBtMYUoctP0Juq9o7utF2pQ6Gu_r68y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8429</Characters>
  <Application>Microsoft Office Word</Application>
  <DocSecurity>0</DocSecurity>
  <Lines>70</Lines>
  <Paragraphs>19</Paragraphs>
  <ScaleCrop>false</ScaleCrop>
  <Company>Med Center Health</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2022-01-04T19:39:00Z</dcterms:created>
  <dcterms:modified xsi:type="dcterms:W3CDTF">2022-01-04T19:39:00Z</dcterms:modified>
</cp:coreProperties>
</file>